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C2" w:rsidRPr="00A52AC2" w:rsidRDefault="00A52AC2" w:rsidP="001A3CEB">
      <w:pPr>
        <w:rPr>
          <w:rFonts w:ascii="Cambria" w:hAnsi="Cambria"/>
          <w:b/>
          <w:sz w:val="24"/>
          <w:szCs w:val="24"/>
        </w:rPr>
      </w:pPr>
    </w:p>
    <w:p w:rsidR="00647E68" w:rsidRPr="00996DB6" w:rsidRDefault="00A52AC2" w:rsidP="005D1D4F">
      <w:pPr>
        <w:jc w:val="center"/>
        <w:rPr>
          <w:b/>
          <w:sz w:val="24"/>
          <w:szCs w:val="24"/>
        </w:rPr>
      </w:pPr>
      <w:r w:rsidRPr="00996DB6">
        <w:rPr>
          <w:b/>
          <w:sz w:val="24"/>
          <w:szCs w:val="24"/>
        </w:rPr>
        <w:t>PROCEDURA POTWIERDZANIA EFEKTÓW UCZENIA SIĘ</w:t>
      </w:r>
    </w:p>
    <w:p w:rsidR="005D1D4F" w:rsidRPr="00996DB6" w:rsidRDefault="005D1D4F">
      <w:pPr>
        <w:rPr>
          <w:sz w:val="24"/>
          <w:szCs w:val="24"/>
        </w:rPr>
      </w:pPr>
    </w:p>
    <w:p w:rsidR="007C3890" w:rsidRPr="00996DB6" w:rsidRDefault="00647E68" w:rsidP="00A52AC2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b/>
        </w:rPr>
      </w:pPr>
      <w:r w:rsidRPr="00996DB6">
        <w:rPr>
          <w:b/>
        </w:rPr>
        <w:t>Cel i zakres procedury</w:t>
      </w:r>
    </w:p>
    <w:p w:rsidR="001A3CEB" w:rsidRPr="00996DB6" w:rsidRDefault="009201E4" w:rsidP="00FD0176">
      <w:pPr>
        <w:pStyle w:val="Akapitzlist"/>
        <w:spacing w:after="120" w:line="360" w:lineRule="auto"/>
        <w:ind w:left="284" w:right="284"/>
        <w:contextualSpacing w:val="0"/>
        <w:jc w:val="both"/>
      </w:pPr>
      <w:r w:rsidRPr="00216CCA">
        <w:t xml:space="preserve">Celem </w:t>
      </w:r>
      <w:r w:rsidR="00CE761E" w:rsidRPr="00216CCA">
        <w:t>procedury</w:t>
      </w:r>
      <w:r w:rsidR="00602235" w:rsidRPr="00216CCA">
        <w:t xml:space="preserve"> jest </w:t>
      </w:r>
      <w:r w:rsidR="002D6A84" w:rsidRPr="00216CCA">
        <w:t>ujednolic</w:t>
      </w:r>
      <w:r w:rsidR="001A3CEB" w:rsidRPr="00216CCA">
        <w:t>enie</w:t>
      </w:r>
      <w:r w:rsidR="002D6A84" w:rsidRPr="00216CCA">
        <w:t xml:space="preserve"> sposobu potwierdzania efektów uczenia się</w:t>
      </w:r>
      <w:r w:rsidR="004736B6" w:rsidRPr="00216CCA">
        <w:t xml:space="preserve"> kandydatów</w:t>
      </w:r>
      <w:r w:rsidR="001A3CEB" w:rsidRPr="00216CCA">
        <w:t xml:space="preserve"> na studia</w:t>
      </w:r>
      <w:r w:rsidR="004736B6" w:rsidRPr="00216CCA">
        <w:t xml:space="preserve">, którzy posiadają zasób </w:t>
      </w:r>
      <w:r w:rsidR="00A52AC2" w:rsidRPr="00216CCA">
        <w:t>wiedzy, umiejętności i kompetencji społecznych</w:t>
      </w:r>
      <w:r w:rsidR="001A3CEB" w:rsidRPr="00216CCA">
        <w:t>,</w:t>
      </w:r>
      <w:r w:rsidR="004736B6" w:rsidRPr="00216CCA">
        <w:t xml:space="preserve"> uzyskany</w:t>
      </w:r>
      <w:r w:rsidR="00602235" w:rsidRPr="00216CCA">
        <w:t>ch</w:t>
      </w:r>
      <w:r w:rsidR="00A52AC2" w:rsidRPr="00216CCA">
        <w:t xml:space="preserve"> </w:t>
      </w:r>
      <w:r w:rsidR="004736B6" w:rsidRPr="00216CCA">
        <w:t>w procesie uc</w:t>
      </w:r>
      <w:r w:rsidR="00D856CB" w:rsidRPr="00216CCA">
        <w:t>zenia się poza systemem studiów</w:t>
      </w:r>
      <w:r w:rsidR="001A3CEB" w:rsidRPr="00216CCA">
        <w:t xml:space="preserve"> wyższych</w:t>
      </w:r>
      <w:r w:rsidR="00D856CB" w:rsidRPr="00216CCA">
        <w:t xml:space="preserve">. </w:t>
      </w:r>
      <w:r w:rsidRPr="00216CCA">
        <w:t>Zakres procedury obejmuje określenie war</w:t>
      </w:r>
      <w:r w:rsidR="006F212E" w:rsidRPr="00216CCA">
        <w:t>unków, tryb i zasad</w:t>
      </w:r>
      <w:r w:rsidR="001A3CEB" w:rsidRPr="00216CCA">
        <w:t>y</w:t>
      </w:r>
      <w:r w:rsidR="006F212E" w:rsidRPr="00216CCA">
        <w:t xml:space="preserve"> </w:t>
      </w:r>
      <w:r w:rsidR="00525885" w:rsidRPr="00216CCA">
        <w:t>potwierdzenia</w:t>
      </w:r>
      <w:r w:rsidR="006F212E" w:rsidRPr="00216CCA">
        <w:t xml:space="preserve"> efektów uczenia się</w:t>
      </w:r>
      <w:r w:rsidRPr="00216CCA">
        <w:t xml:space="preserve">, wskazuje osoby odpowiedzialne </w:t>
      </w:r>
      <w:r w:rsidR="00D63F10" w:rsidRPr="00216CCA">
        <w:t>za realizację określonych zadań i</w:t>
      </w:r>
      <w:r w:rsidR="001A3CEB" w:rsidRPr="00216CCA">
        <w:t> </w:t>
      </w:r>
      <w:r w:rsidR="00525885" w:rsidRPr="00216CCA">
        <w:t>termin</w:t>
      </w:r>
      <w:r w:rsidR="00D63F10" w:rsidRPr="00216CCA">
        <w:t>y</w:t>
      </w:r>
      <w:r w:rsidR="00525885" w:rsidRPr="00216CCA">
        <w:t xml:space="preserve"> ich wykonania</w:t>
      </w:r>
      <w:r w:rsidR="00D856CB" w:rsidRPr="00216CCA">
        <w:t>,</w:t>
      </w:r>
      <w:r w:rsidR="00216CCA">
        <w:t xml:space="preserve"> sposób powołania i </w:t>
      </w:r>
      <w:r w:rsidR="00525885" w:rsidRPr="00216CCA">
        <w:t xml:space="preserve">tryb działania komisji weryfikującej efekty uczenia się </w:t>
      </w:r>
      <w:r w:rsidRPr="00216CCA">
        <w:t xml:space="preserve">oraz zasady dokumentowania procesu. </w:t>
      </w:r>
    </w:p>
    <w:p w:rsidR="00806EEA" w:rsidRPr="00996DB6" w:rsidRDefault="00806EEA" w:rsidP="00A52AC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b/>
        </w:rPr>
      </w:pPr>
      <w:r w:rsidRPr="00996DB6">
        <w:rPr>
          <w:b/>
        </w:rPr>
        <w:t xml:space="preserve">Podstawa prawna </w:t>
      </w:r>
      <w:r w:rsidR="001A3CEB" w:rsidRPr="00996DB6">
        <w:rPr>
          <w:b/>
        </w:rPr>
        <w:t>procedury</w:t>
      </w:r>
    </w:p>
    <w:p w:rsidR="00996DB6" w:rsidRPr="00996DB6" w:rsidRDefault="00996DB6" w:rsidP="00996DB6">
      <w:pPr>
        <w:pStyle w:val="Akapitzlist"/>
        <w:spacing w:after="120" w:line="240" w:lineRule="auto"/>
        <w:ind w:left="714" w:right="284"/>
        <w:contextualSpacing w:val="0"/>
        <w:jc w:val="both"/>
        <w:rPr>
          <w:u w:val="single"/>
        </w:rPr>
      </w:pPr>
      <w:r w:rsidRPr="00996DB6">
        <w:rPr>
          <w:u w:val="single"/>
        </w:rPr>
        <w:t>Regulacje zewnętrzne</w:t>
      </w:r>
    </w:p>
    <w:p w:rsidR="00405721" w:rsidRPr="00FB24D8" w:rsidRDefault="00405721" w:rsidP="00405721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</w:pPr>
      <w:r>
        <w:t>Ustawa Prawo o szkolnictwie wyższym i nauce z dnia 20 lipca 2018 r. (Dz. U.  z 2018 r. poz. 1668)</w:t>
      </w:r>
      <w:r w:rsidRPr="006D68CD">
        <w:rPr>
          <w:rFonts w:eastAsia="Calibri" w:cs="Times New Roman"/>
        </w:rPr>
        <w:t xml:space="preserve"> (z </w:t>
      </w:r>
      <w:proofErr w:type="spellStart"/>
      <w:r w:rsidRPr="006D68CD">
        <w:rPr>
          <w:rFonts w:eastAsia="Calibri" w:cs="Times New Roman"/>
        </w:rPr>
        <w:t>późn</w:t>
      </w:r>
      <w:proofErr w:type="spellEnd"/>
      <w:r w:rsidRPr="006D68CD">
        <w:rPr>
          <w:rFonts w:eastAsia="Calibri" w:cs="Times New Roman"/>
        </w:rPr>
        <w:t xml:space="preserve">. zmianami) </w:t>
      </w:r>
    </w:p>
    <w:p w:rsidR="00405721" w:rsidRPr="00996DB6" w:rsidRDefault="00405721" w:rsidP="00CF7C06">
      <w:pPr>
        <w:pStyle w:val="Akapitzlist"/>
        <w:numPr>
          <w:ilvl w:val="0"/>
          <w:numId w:val="4"/>
        </w:numPr>
        <w:spacing w:after="240" w:line="240" w:lineRule="auto"/>
        <w:ind w:left="714" w:right="284" w:hanging="357"/>
        <w:contextualSpacing w:val="0"/>
        <w:jc w:val="both"/>
      </w:pPr>
      <w:r>
        <w:t>Rozporządzenie Ministra Nauki i Szkolnictwa Wyższego z dnia 27 września 2018 r. w sprawie studiów (Dz. U. z 2018 r. poz. 1861)</w:t>
      </w:r>
      <w:r w:rsidRPr="00405721">
        <w:rPr>
          <w:rFonts w:asciiTheme="minorHAnsi" w:hAnsiTheme="minorHAnsi"/>
        </w:rPr>
        <w:t xml:space="preserve"> </w:t>
      </w:r>
    </w:p>
    <w:p w:rsidR="00996DB6" w:rsidRPr="00996DB6" w:rsidRDefault="00996DB6" w:rsidP="00996DB6">
      <w:pPr>
        <w:pStyle w:val="Akapitzlist"/>
        <w:spacing w:after="120" w:line="240" w:lineRule="auto"/>
        <w:ind w:left="714" w:right="284"/>
        <w:contextualSpacing w:val="0"/>
        <w:jc w:val="both"/>
        <w:rPr>
          <w:u w:val="single"/>
        </w:rPr>
      </w:pPr>
      <w:r w:rsidRPr="00996DB6">
        <w:rPr>
          <w:u w:val="single"/>
        </w:rPr>
        <w:t>Regulacje wewnętrzne</w:t>
      </w:r>
    </w:p>
    <w:p w:rsidR="00020A94" w:rsidRPr="00996DB6" w:rsidRDefault="00FD0176" w:rsidP="00996DB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</w:pPr>
      <w:r>
        <w:t xml:space="preserve">Uchwała Nr 48/2019 Senatu Politechniki Koszalińskiej w sprawie sposobu potwierdzania efektów uczenia się, </w:t>
      </w:r>
    </w:p>
    <w:p w:rsidR="0002623C" w:rsidRPr="00996DB6" w:rsidRDefault="00FD0176" w:rsidP="00996DB6">
      <w:pPr>
        <w:pStyle w:val="Akapitzlist"/>
        <w:numPr>
          <w:ilvl w:val="0"/>
          <w:numId w:val="4"/>
        </w:numPr>
        <w:spacing w:after="0" w:line="240" w:lineRule="auto"/>
        <w:ind w:left="714" w:right="284" w:hanging="357"/>
        <w:contextualSpacing w:val="0"/>
        <w:jc w:val="both"/>
      </w:pPr>
      <w:r>
        <w:t>Zarządzenie Rektora w sprawie ustalenia wysokości opłaty za przeprowadzenie procesu potwierdzania efektów uczenia się</w:t>
      </w:r>
      <w:r w:rsidR="00E73216" w:rsidRPr="00996DB6">
        <w:t xml:space="preserve">, </w:t>
      </w:r>
    </w:p>
    <w:p w:rsidR="003B4F60" w:rsidRPr="00996DB6" w:rsidRDefault="003B4F60" w:rsidP="00A52AC2">
      <w:pPr>
        <w:pStyle w:val="Akapitzlist"/>
        <w:spacing w:after="240" w:line="240" w:lineRule="auto"/>
        <w:contextualSpacing w:val="0"/>
        <w:jc w:val="both"/>
      </w:pPr>
    </w:p>
    <w:p w:rsidR="00BC3601" w:rsidRPr="00996DB6" w:rsidRDefault="000A0694" w:rsidP="00A52AC2">
      <w:pPr>
        <w:pStyle w:val="Akapitzlist"/>
        <w:numPr>
          <w:ilvl w:val="0"/>
          <w:numId w:val="2"/>
        </w:numPr>
        <w:spacing w:after="240" w:line="240" w:lineRule="auto"/>
        <w:ind w:left="357" w:hanging="357"/>
        <w:contextualSpacing w:val="0"/>
        <w:jc w:val="both"/>
        <w:rPr>
          <w:b/>
        </w:rPr>
      </w:pPr>
      <w:r w:rsidRPr="00996DB6">
        <w:rPr>
          <w:b/>
        </w:rPr>
        <w:t>Opis realizacji procedury</w:t>
      </w:r>
    </w:p>
    <w:p w:rsidR="00D02BFC" w:rsidRPr="00996DB6" w:rsidRDefault="00BC3601" w:rsidP="00A52AC2">
      <w:pPr>
        <w:pStyle w:val="Akapitzlist"/>
        <w:numPr>
          <w:ilvl w:val="1"/>
          <w:numId w:val="2"/>
        </w:numPr>
        <w:spacing w:after="240" w:line="240" w:lineRule="auto"/>
        <w:ind w:left="425" w:hanging="425"/>
        <w:contextualSpacing w:val="0"/>
        <w:jc w:val="both"/>
        <w:rPr>
          <w:b/>
        </w:rPr>
      </w:pPr>
      <w:r w:rsidRPr="00996DB6">
        <w:rPr>
          <w:b/>
        </w:rPr>
        <w:t xml:space="preserve">Organizacja procesu </w:t>
      </w:r>
      <w:r w:rsidR="00D02BFC" w:rsidRPr="00996DB6">
        <w:rPr>
          <w:b/>
        </w:rPr>
        <w:t>potwierdzania efektów uczenia się</w:t>
      </w:r>
      <w:r w:rsidR="00996DB6">
        <w:rPr>
          <w:b/>
        </w:rPr>
        <w:t xml:space="preserve"> </w:t>
      </w:r>
    </w:p>
    <w:p w:rsidR="00455940" w:rsidRDefault="00455940" w:rsidP="00455940">
      <w:pPr>
        <w:tabs>
          <w:tab w:val="center" w:pos="7371"/>
        </w:tabs>
        <w:spacing w:after="0" w:line="360" w:lineRule="auto"/>
        <w:ind w:left="284"/>
        <w:jc w:val="both"/>
      </w:pPr>
      <w:r>
        <w:t xml:space="preserve">Ogólną organizację dotyczącą warunków, trybu jak i zasad potwierdzania efektów uczenia się określa Senat w drodze uchwały. Szczegóły dotyczące procesu potwierdzania efektów uczenia się w tym: wysokości opłat za przeprowadzenie procedury i ustalenie limitów miejsc osób przyjętych w wyniku potwierdzenia efektów uczenia się określa Rektor w drodze zarządzenia. </w:t>
      </w:r>
    </w:p>
    <w:p w:rsidR="00455940" w:rsidRDefault="00455940" w:rsidP="00455940">
      <w:pPr>
        <w:tabs>
          <w:tab w:val="center" w:pos="7371"/>
        </w:tabs>
        <w:spacing w:after="0" w:line="360" w:lineRule="auto"/>
        <w:ind w:left="284"/>
        <w:jc w:val="both"/>
      </w:pPr>
      <w:r>
        <w:t xml:space="preserve">Potwierdzenie efektów uczenia się odbywa się przed Komisją Weryfikującą Efekty Uczenia się powołaną przez Prorektora ds. Kształcenia. W skład komisji wchodzi minimum 3 nauczycieli akademickich: </w:t>
      </w:r>
    </w:p>
    <w:p w:rsidR="00455940" w:rsidRDefault="00455940" w:rsidP="00902F6E">
      <w:pPr>
        <w:numPr>
          <w:ilvl w:val="0"/>
          <w:numId w:val="19"/>
        </w:numPr>
        <w:tabs>
          <w:tab w:val="center" w:pos="709"/>
        </w:tabs>
        <w:spacing w:after="0" w:line="240" w:lineRule="auto"/>
        <w:ind w:left="714" w:hanging="357"/>
        <w:jc w:val="both"/>
      </w:pPr>
      <w:r>
        <w:lastRenderedPageBreak/>
        <w:t>przewodniczący komisji - nauczyciel akademicki posiadający stopień co najmniej doktora i wiedzę w zakresie programu studiów, którego efekty dotyczą oraz znajomość procesu uznawania efektów uczenia się,</w:t>
      </w:r>
    </w:p>
    <w:p w:rsidR="00455940" w:rsidRDefault="00455940" w:rsidP="00902F6E">
      <w:pPr>
        <w:numPr>
          <w:ilvl w:val="0"/>
          <w:numId w:val="19"/>
        </w:numPr>
        <w:tabs>
          <w:tab w:val="center" w:pos="709"/>
        </w:tabs>
        <w:spacing w:after="0" w:line="240" w:lineRule="auto"/>
        <w:ind w:left="714" w:hanging="357"/>
        <w:jc w:val="both"/>
      </w:pPr>
      <w:r>
        <w:t xml:space="preserve">nauczyciel akademicki reprezentujący dyscypliny naukowe, których efekty uczenia się dotyczą, </w:t>
      </w:r>
    </w:p>
    <w:p w:rsidR="00455940" w:rsidRDefault="00455940" w:rsidP="00902F6E">
      <w:pPr>
        <w:numPr>
          <w:ilvl w:val="0"/>
          <w:numId w:val="19"/>
        </w:numPr>
        <w:tabs>
          <w:tab w:val="center" w:pos="709"/>
        </w:tabs>
        <w:spacing w:after="240" w:line="240" w:lineRule="auto"/>
        <w:ind w:left="714" w:hanging="357"/>
        <w:jc w:val="both"/>
      </w:pPr>
      <w:r>
        <w:t xml:space="preserve">nauczyciel akademicki odpowiedzialny za zajęcia lub prowadzący zajęcia albo inny nauczyciel akademicki posiadający doświadczenie dydaktyczne w realizacji zajęć, którego efekty są uznawane. </w:t>
      </w:r>
    </w:p>
    <w:p w:rsidR="00455940" w:rsidRDefault="00455940" w:rsidP="003F5645">
      <w:pPr>
        <w:spacing w:after="240" w:line="360" w:lineRule="auto"/>
        <w:ind w:left="284" w:right="284"/>
        <w:jc w:val="both"/>
      </w:pPr>
      <w:r>
        <w:t>Zadaniem Komisji Weryfikującej Efekty Uczenia się jest spr</w:t>
      </w:r>
      <w:r w:rsidR="003F5645">
        <w:t>awdzenie wiedzy, umiejętności i </w:t>
      </w:r>
      <w:r>
        <w:t>kompetencji społecznych uzyskanych poza systemem studiów indywidualnie dla każdej osoby, która wystąpi z wnioskiem oraz podpisze umowę  z Uczelnią. Komisja powoływana jest każdorazowo dla rozpatrywanego wniosku.</w:t>
      </w:r>
      <w:r w:rsidR="00902F6E">
        <w:t xml:space="preserve"> </w:t>
      </w:r>
    </w:p>
    <w:p w:rsidR="005F5DAA" w:rsidRPr="00996DB6" w:rsidRDefault="005F5DAA" w:rsidP="00A52AC2">
      <w:pPr>
        <w:pStyle w:val="Akapitzlist"/>
        <w:numPr>
          <w:ilvl w:val="1"/>
          <w:numId w:val="2"/>
        </w:numPr>
        <w:spacing w:after="240" w:line="240" w:lineRule="auto"/>
        <w:ind w:left="425" w:hanging="425"/>
        <w:contextualSpacing w:val="0"/>
        <w:jc w:val="both"/>
        <w:rPr>
          <w:b/>
        </w:rPr>
      </w:pPr>
      <w:r w:rsidRPr="00996DB6">
        <w:rPr>
          <w:b/>
        </w:rPr>
        <w:t>Warunki potwierdzania efektów uczenia się</w:t>
      </w:r>
      <w:r w:rsidR="003F5645">
        <w:rPr>
          <w:b/>
        </w:rPr>
        <w:t xml:space="preserve"> </w:t>
      </w:r>
    </w:p>
    <w:p w:rsidR="005F5DAA" w:rsidRPr="00996DB6" w:rsidRDefault="005F5DAA" w:rsidP="00633E17">
      <w:pPr>
        <w:pStyle w:val="Akapitzlist"/>
        <w:spacing w:after="0" w:line="360" w:lineRule="auto"/>
        <w:ind w:left="284" w:right="284"/>
        <w:contextualSpacing w:val="0"/>
        <w:jc w:val="both"/>
      </w:pPr>
      <w:r w:rsidRPr="00996DB6">
        <w:t xml:space="preserve">Efekty uczenia się mogą zostać potwierdzone: </w:t>
      </w:r>
    </w:p>
    <w:p w:rsidR="005F5DAA" w:rsidRPr="00996DB6" w:rsidRDefault="005F5DAA" w:rsidP="00902F6E">
      <w:pPr>
        <w:pStyle w:val="Akapitzlist"/>
        <w:numPr>
          <w:ilvl w:val="0"/>
          <w:numId w:val="12"/>
        </w:numPr>
        <w:spacing w:after="0" w:line="240" w:lineRule="auto"/>
        <w:ind w:left="714" w:right="284" w:hanging="357"/>
        <w:contextualSpacing w:val="0"/>
        <w:jc w:val="both"/>
      </w:pPr>
      <w:r w:rsidRPr="00996DB6">
        <w:t xml:space="preserve">osobie posiadającej </w:t>
      </w:r>
      <w:r w:rsidR="003F5645" w:rsidRPr="003F5645">
        <w:t xml:space="preserve">dokumenty, o których mowa </w:t>
      </w:r>
      <w:r w:rsidR="003F5645">
        <w:t>w art. 69 ust. 2 Ustawy prawo o </w:t>
      </w:r>
      <w:r w:rsidR="003F5645" w:rsidRPr="003F5645">
        <w:t>szkolnictwie wyższym i nauce, i co najmniej 5 lat doświadczenia zawodowego</w:t>
      </w:r>
      <w:r w:rsidR="003F5645">
        <w:t xml:space="preserve">, </w:t>
      </w:r>
    </w:p>
    <w:p w:rsidR="005F5DAA" w:rsidRPr="00996DB6" w:rsidRDefault="003F5645" w:rsidP="00902F6E">
      <w:pPr>
        <w:pStyle w:val="Akapitzlist"/>
        <w:numPr>
          <w:ilvl w:val="0"/>
          <w:numId w:val="12"/>
        </w:numPr>
        <w:spacing w:after="0" w:line="240" w:lineRule="auto"/>
        <w:ind w:left="714" w:right="284" w:hanging="357"/>
        <w:contextualSpacing w:val="0"/>
        <w:jc w:val="both"/>
      </w:pPr>
      <w:r w:rsidRPr="00996DB6">
        <w:t xml:space="preserve">osobie posiadającej </w:t>
      </w:r>
      <w:r w:rsidRPr="003F5645">
        <w:t>kwalifikację pełną na poziomie 5</w:t>
      </w:r>
      <w:r>
        <w:t xml:space="preserve"> PRK albo kwalifikację nadaną w </w:t>
      </w:r>
      <w:r w:rsidRPr="003F5645">
        <w:t>ramach zagranicznego systemu szkolnictwa wyż</w:t>
      </w:r>
      <w:r>
        <w:t>szego odpowiadającą poziomowi 5 </w:t>
      </w:r>
      <w:r w:rsidRPr="003F5645">
        <w:t>europejskich ram kwalifikacji, o których mowa w załączniku II do zalecenia Parlamentu Europejskiego i Rady z dnia 23 kwietnia 2008 r. w sprawie ustanowienia europejskich ram kwalifikacji dla uczenia się przez całe życie (Dz. Urz. UE C 111 z 06.05.2008, str. 1)</w:t>
      </w:r>
      <w:r w:rsidR="005F5DAA" w:rsidRPr="00996DB6">
        <w:t xml:space="preserve">, </w:t>
      </w:r>
    </w:p>
    <w:p w:rsidR="005F5DAA" w:rsidRPr="00996DB6" w:rsidRDefault="005F5DAA" w:rsidP="00902F6E">
      <w:pPr>
        <w:pStyle w:val="Akapitzlist"/>
        <w:numPr>
          <w:ilvl w:val="0"/>
          <w:numId w:val="12"/>
        </w:numPr>
        <w:spacing w:after="0" w:line="240" w:lineRule="auto"/>
        <w:ind w:left="714" w:right="284" w:hanging="357"/>
        <w:contextualSpacing w:val="0"/>
        <w:jc w:val="both"/>
      </w:pPr>
      <w:r w:rsidRPr="003F5645">
        <w:rPr>
          <w:strike/>
        </w:rPr>
        <w:t xml:space="preserve">osobie posiadającej </w:t>
      </w:r>
      <w:r w:rsidR="003F5645" w:rsidRPr="003F5645">
        <w:rPr>
          <w:strike/>
        </w:rPr>
        <w:t>kwalifikację pełną na poziomie 6 PRK i co najmniej 3 lata doświadczenia zawodowego po ukończeniu studiów pierwszego stopnia – w przypadku ubiegania się o przyjęcie na studia drugiego stopnia</w:t>
      </w:r>
      <w:r w:rsidR="00996DB6">
        <w:t xml:space="preserve">, </w:t>
      </w:r>
    </w:p>
    <w:p w:rsidR="00E86EDD" w:rsidRPr="00996DB6" w:rsidRDefault="003F5645" w:rsidP="00902F6E">
      <w:pPr>
        <w:pStyle w:val="Akapitzlist"/>
        <w:numPr>
          <w:ilvl w:val="0"/>
          <w:numId w:val="12"/>
        </w:numPr>
        <w:spacing w:after="240" w:line="240" w:lineRule="auto"/>
        <w:ind w:left="714" w:right="284" w:hanging="357"/>
        <w:contextualSpacing w:val="0"/>
        <w:jc w:val="both"/>
      </w:pPr>
      <w:r w:rsidRPr="00996DB6">
        <w:t xml:space="preserve">osobie posiadającej </w:t>
      </w:r>
      <w:r w:rsidRPr="003F5645">
        <w:t>kwalifikację pełną na poziomie 7 PRK i co najmniej 2 lata doświadczenia zawodowego po ukończeniu studiów drugiego stopnia albo jednolitych studiów magisterskich – w przypadku ubiegania się o przyjęcie na kolejne studia pierwszego stopnia lub drugiego stopnia lub jednolite studia magisterskie</w:t>
      </w:r>
      <w:r w:rsidR="005F5DAA" w:rsidRPr="00996DB6">
        <w:t>.</w:t>
      </w:r>
      <w:r w:rsidR="007B319C" w:rsidRPr="00996DB6">
        <w:t xml:space="preserve"> </w:t>
      </w:r>
    </w:p>
    <w:p w:rsidR="00633E17" w:rsidRDefault="00633E17" w:rsidP="00633E17">
      <w:pPr>
        <w:spacing w:after="0" w:line="360" w:lineRule="auto"/>
        <w:ind w:left="284" w:right="284"/>
        <w:jc w:val="both"/>
      </w:pPr>
      <w:r w:rsidRPr="00633E17">
        <w:t xml:space="preserve">Osoba ubiegająca się o potwierdzanie efektów uczenia się składa do Przewodniczącego Uczelnianej Komisji Rekrutacyjnej wniosek. Do wniosku dołącza dokumenty pozwalające potwierdzić wiedzę, umiejętności i kompetencje społeczne nabyte w drodze kształcenia </w:t>
      </w:r>
      <w:proofErr w:type="spellStart"/>
      <w:r w:rsidRPr="00633E17">
        <w:t>pozaformalnego</w:t>
      </w:r>
      <w:proofErr w:type="spellEnd"/>
      <w:r w:rsidRPr="00633E17">
        <w:t xml:space="preserve"> i nieformalne</w:t>
      </w:r>
      <w:r>
        <w:t xml:space="preserve">go: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 w:rsidRPr="00633E17">
        <w:t>umowa o pracę, świadectwo pracy lub zaświadczenie z zakładu pracy potwierd</w:t>
      </w:r>
      <w:r>
        <w:t xml:space="preserve">zające wymagany staż zawodowy,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 w:rsidRPr="00633E17">
        <w:t>opis stanow</w:t>
      </w:r>
      <w:r>
        <w:t xml:space="preserve">iska pracy, zakres obowiązków,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>
        <w:t>c</w:t>
      </w:r>
      <w:r w:rsidRPr="00633E17">
        <w:t>ertyfikaty, dyplomy zaświadczenia</w:t>
      </w:r>
      <w:r>
        <w:t xml:space="preserve"> ukończonych kursów i szkoleń,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 w:rsidRPr="00633E17">
        <w:t>certyfikaty językowe z listy certyfikatów ujętych w Regulaminie Realizacji L</w:t>
      </w:r>
      <w:r>
        <w:t xml:space="preserve">ektoratów Języków Obcych w PK,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>
        <w:t xml:space="preserve">opinie pracodawców, </w:t>
      </w:r>
    </w:p>
    <w:p w:rsidR="00633E17" w:rsidRDefault="00633E17" w:rsidP="00902F6E">
      <w:pPr>
        <w:numPr>
          <w:ilvl w:val="0"/>
          <w:numId w:val="20"/>
        </w:numPr>
        <w:spacing w:after="0" w:line="240" w:lineRule="auto"/>
        <w:ind w:left="709" w:right="284" w:hanging="284"/>
        <w:jc w:val="both"/>
      </w:pPr>
      <w:r w:rsidRPr="00633E17">
        <w:t xml:space="preserve">aktywności w ramach wolontariatu lub uczestnictwo w innych </w:t>
      </w:r>
      <w:r>
        <w:t xml:space="preserve">przedsięwzięciach społecznych, </w:t>
      </w:r>
    </w:p>
    <w:p w:rsidR="00633E17" w:rsidRDefault="00633E17" w:rsidP="00902F6E">
      <w:pPr>
        <w:numPr>
          <w:ilvl w:val="0"/>
          <w:numId w:val="20"/>
        </w:numPr>
        <w:spacing w:after="240" w:line="240" w:lineRule="auto"/>
        <w:ind w:left="709" w:right="284" w:hanging="284"/>
        <w:jc w:val="both"/>
      </w:pPr>
      <w:r w:rsidRPr="00633E17">
        <w:t>inne</w:t>
      </w:r>
    </w:p>
    <w:p w:rsidR="00902F6E" w:rsidRDefault="00902F6E" w:rsidP="00902F6E">
      <w:pPr>
        <w:spacing w:after="0" w:line="360" w:lineRule="auto"/>
        <w:ind w:left="284" w:right="284"/>
        <w:jc w:val="both"/>
      </w:pPr>
      <w:r>
        <w:lastRenderedPageBreak/>
        <w:t xml:space="preserve">Procedurę potwierdzania efektów uczenia się przeprowadza się pod warunkiem wniesienia opłaty. Wysokość opłaty za przeprowadzenie procesu uznawania efektów uczenia się określa zarządzenia Rektora. </w:t>
      </w:r>
    </w:p>
    <w:p w:rsidR="00902F6E" w:rsidRDefault="00902F6E" w:rsidP="00902F6E">
      <w:pPr>
        <w:spacing w:after="0" w:line="360" w:lineRule="auto"/>
        <w:ind w:left="284" w:right="284"/>
        <w:jc w:val="both"/>
      </w:pPr>
      <w:r>
        <w:t xml:space="preserve">W wyniku potwierdzenia efektów uczenia się można zaliczyć studentowi nie więcej niż 50% punktów ECTS przypisanych do danego programu studiów określonego kierunku, poziomu i profilu kształcenia. </w:t>
      </w:r>
    </w:p>
    <w:p w:rsidR="00015408" w:rsidRPr="00996DB6" w:rsidRDefault="00902F6E" w:rsidP="00902F6E">
      <w:pPr>
        <w:spacing w:after="240" w:line="360" w:lineRule="auto"/>
        <w:ind w:left="284" w:right="284"/>
        <w:jc w:val="both"/>
      </w:pPr>
      <w:r>
        <w:t xml:space="preserve">Informacje dotyczące procesu weryfikacji efektów uczenia się, w tym regulamin potwierdzania efektów uczenia się i wysokość opłat, zamieszczane będą na stronie BIP Politechniki Koszalińskiej. </w:t>
      </w:r>
    </w:p>
    <w:p w:rsidR="000C2EA9" w:rsidRDefault="00820163" w:rsidP="00A52AC2">
      <w:pPr>
        <w:pStyle w:val="Akapitzlist"/>
        <w:numPr>
          <w:ilvl w:val="1"/>
          <w:numId w:val="2"/>
        </w:numPr>
        <w:spacing w:after="240" w:line="240" w:lineRule="auto"/>
        <w:ind w:left="425" w:hanging="425"/>
        <w:contextualSpacing w:val="0"/>
        <w:jc w:val="both"/>
        <w:rPr>
          <w:b/>
        </w:rPr>
      </w:pPr>
      <w:r w:rsidRPr="00996DB6">
        <w:rPr>
          <w:b/>
        </w:rPr>
        <w:t>Przebieg procesu weryfikacji</w:t>
      </w:r>
      <w:r w:rsidR="00E65CD4" w:rsidRPr="00996DB6">
        <w:rPr>
          <w:b/>
        </w:rPr>
        <w:t xml:space="preserve"> </w:t>
      </w:r>
    </w:p>
    <w:p w:rsidR="00902F6E" w:rsidRPr="00902F6E" w:rsidRDefault="00902F6E" w:rsidP="00902F6E">
      <w:pPr>
        <w:pStyle w:val="Akapitzlist"/>
        <w:spacing w:after="0" w:line="360" w:lineRule="auto"/>
        <w:ind w:left="284"/>
        <w:jc w:val="both"/>
      </w:pPr>
      <w:r w:rsidRPr="00902F6E">
        <w:t xml:space="preserve">Wniosek o potwierdzenie efektów uczenia się wraz z wymaganymi dokumentami, składane mogą być w ciągu całego roku akademickiego, ale nie później niż do 1 marca danego roku kalendarzowego jeżeli wnioskodawca chce rozpocząć studia w semestrze zimowym </w:t>
      </w:r>
      <w:r>
        <w:t>następnego</w:t>
      </w:r>
      <w:r w:rsidRPr="00902F6E">
        <w:t xml:space="preserve"> roku </w:t>
      </w:r>
      <w:r>
        <w:t>akademickiego</w:t>
      </w:r>
      <w:r w:rsidRPr="00902F6E">
        <w:t xml:space="preserve">. </w:t>
      </w:r>
    </w:p>
    <w:p w:rsidR="00902F6E" w:rsidRPr="00902F6E" w:rsidRDefault="00902F6E" w:rsidP="00902F6E">
      <w:pPr>
        <w:pStyle w:val="Akapitzlist"/>
        <w:spacing w:after="0" w:line="360" w:lineRule="auto"/>
        <w:ind w:left="284"/>
        <w:jc w:val="both"/>
      </w:pPr>
      <w:r w:rsidRPr="00902F6E">
        <w:t>Z kandydatami przystępującymi do potwierdzania efektów uczen</w:t>
      </w:r>
      <w:r>
        <w:t>ia się Uczelnia zawiera umowę w </w:t>
      </w:r>
      <w:r w:rsidRPr="00902F6E">
        <w:t>sprawie opłat za postępowanie związane z potwierdzaniem efektów uczenia</w:t>
      </w:r>
      <w:r>
        <w:t xml:space="preserve">. </w:t>
      </w:r>
    </w:p>
    <w:p w:rsidR="00902F6E" w:rsidRPr="00902F6E" w:rsidRDefault="00902F6E" w:rsidP="00902F6E">
      <w:pPr>
        <w:pStyle w:val="Akapitzlist"/>
        <w:spacing w:after="0" w:line="360" w:lineRule="auto"/>
        <w:ind w:left="284"/>
        <w:jc w:val="both"/>
      </w:pPr>
      <w:r w:rsidRPr="00902F6E">
        <w:t xml:space="preserve">Komisja Weryfikująca Efekty Uczenia się:  </w:t>
      </w:r>
    </w:p>
    <w:p w:rsidR="00902F6E" w:rsidRDefault="00902F6E" w:rsidP="00F017F9">
      <w:pPr>
        <w:pStyle w:val="Akapitzlist"/>
        <w:numPr>
          <w:ilvl w:val="0"/>
          <w:numId w:val="21"/>
        </w:numPr>
        <w:spacing w:after="0" w:line="240" w:lineRule="auto"/>
        <w:ind w:left="568" w:hanging="284"/>
        <w:jc w:val="both"/>
      </w:pPr>
      <w:r w:rsidRPr="00902F6E">
        <w:t>zapoznaje się z dokumentacją złożoną przez wnioskodawc</w:t>
      </w:r>
      <w:r>
        <w:t>ę i sprawdza jej kompletność. W </w:t>
      </w:r>
      <w:r w:rsidRPr="00902F6E">
        <w:t>przypadku stwierdzenia, że wniosek o potwierdzenie efektów uczenia się jest niekompletny, zobowiązuje na piśmie kandydata do niezwłocznego uzupełnienia wniosku pod rygorem pozostawienia go bez rozpoznania</w:t>
      </w:r>
      <w:r>
        <w:t xml:space="preserve">, </w:t>
      </w:r>
    </w:p>
    <w:p w:rsidR="00902F6E" w:rsidRDefault="00902F6E" w:rsidP="00F017F9">
      <w:pPr>
        <w:pStyle w:val="Akapitzlist"/>
        <w:numPr>
          <w:ilvl w:val="0"/>
          <w:numId w:val="21"/>
        </w:numPr>
        <w:spacing w:after="0" w:line="240" w:lineRule="auto"/>
        <w:ind w:left="568" w:hanging="284"/>
        <w:jc w:val="both"/>
      </w:pPr>
      <w:r w:rsidRPr="00902F6E">
        <w:t>określa formę weryfikacji efektów uczenia się oraz wyznacza termi</w:t>
      </w:r>
      <w:r>
        <w:t>n weryfikacji w terminie do 30 </w:t>
      </w:r>
      <w:r w:rsidRPr="00902F6E">
        <w:t>dni od złożenia dokumentów. Weryfikacja efektó</w:t>
      </w:r>
      <w:r w:rsidR="00F017F9">
        <w:t>w uczenia się dokonywana jest w </w:t>
      </w:r>
      <w:r w:rsidRPr="00902F6E">
        <w:t>odniesieniu do efektów uczenia się określonych w programie studiów dla danego kierunku studiów, poziom</w:t>
      </w:r>
      <w:r>
        <w:t xml:space="preserve">u i profilu kształcenia. Formy </w:t>
      </w:r>
      <w:r w:rsidRPr="00902F6E">
        <w:t>i metody weryfikacji efektów uczenia się wynikają z Regulaminu studiów Politechniki Koszalińskiej i przedmiotowych kart kursów. Ocena końcowa wystawiana jest zgodnie ze skalą ocen określoną w Regulaminie studiów</w:t>
      </w:r>
      <w:r>
        <w:t xml:space="preserve">, </w:t>
      </w:r>
    </w:p>
    <w:p w:rsidR="00902F6E" w:rsidRDefault="00902F6E" w:rsidP="00F017F9">
      <w:pPr>
        <w:pStyle w:val="Akapitzlist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l</w:t>
      </w:r>
      <w:r w:rsidRPr="00902F6E">
        <w:t>iczba terminów i ich częstotliwość zależy od liczby zajęć lub modułów. W przypadku większej liczby przedmiotów lub modułów należy zaplanować kolejne terminy weryfikacji efektów uczenia się, z co najmniej 1 dniową przerwą. Kandydat może przystąpić do weryfikacji efektów uczenia się z nie więcej niż 3 przedm</w:t>
      </w:r>
      <w:r>
        <w:t xml:space="preserve">iotów lub modułów w jednym dniu, </w:t>
      </w:r>
    </w:p>
    <w:p w:rsidR="00902F6E" w:rsidRDefault="00902F6E" w:rsidP="00F017F9">
      <w:pPr>
        <w:pStyle w:val="Akapitzlist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w</w:t>
      </w:r>
      <w:r w:rsidRPr="00902F6E">
        <w:t xml:space="preserve"> przypadku usprawiedliwionej nieobecności kandydata podczas weryfikacji efektów uczenia się Komisja wyznacza dodatkowy termin. </w:t>
      </w:r>
      <w:r>
        <w:t>N</w:t>
      </w:r>
      <w:r w:rsidRPr="00902F6E">
        <w:t>ieusprawied</w:t>
      </w:r>
      <w:r w:rsidR="00F017F9">
        <w:t>liwiona nieobecność kandydata w </w:t>
      </w:r>
      <w:r w:rsidRPr="00902F6E">
        <w:t>wyznaczonym terminie jest równoznaczna z negatywnym wynikiem procesu weryfikacji</w:t>
      </w:r>
      <w:r>
        <w:t xml:space="preserve">, </w:t>
      </w:r>
    </w:p>
    <w:p w:rsidR="00902F6E" w:rsidRDefault="00902F6E" w:rsidP="00F017F9">
      <w:pPr>
        <w:pStyle w:val="Akapitzlist"/>
        <w:numPr>
          <w:ilvl w:val="0"/>
          <w:numId w:val="21"/>
        </w:numPr>
        <w:spacing w:after="0" w:line="240" w:lineRule="auto"/>
        <w:ind w:left="568" w:hanging="284"/>
        <w:jc w:val="both"/>
      </w:pPr>
      <w:r>
        <w:t>z</w:t>
      </w:r>
      <w:r w:rsidRPr="00902F6E">
        <w:t xml:space="preserve"> przeprowadzonej weryfikacji efektów uczenia się Komisja Weryfikująca Efekty Uczenia się sporządza opinię</w:t>
      </w:r>
      <w:r>
        <w:t xml:space="preserve">, </w:t>
      </w:r>
    </w:p>
    <w:p w:rsidR="00F017F9" w:rsidRDefault="00F017F9" w:rsidP="00F017F9">
      <w:pPr>
        <w:pStyle w:val="Akapitzlist"/>
        <w:numPr>
          <w:ilvl w:val="0"/>
          <w:numId w:val="21"/>
        </w:numPr>
        <w:spacing w:after="240" w:line="240" w:lineRule="auto"/>
        <w:ind w:left="568" w:hanging="284"/>
        <w:jc w:val="both"/>
      </w:pPr>
      <w:r w:rsidRPr="00902F6E">
        <w:t xml:space="preserve">Na podstawie opinii Komisji Weryfikującej Efekty Uczenia się </w:t>
      </w:r>
      <w:r>
        <w:t>P</w:t>
      </w:r>
      <w:r w:rsidRPr="00902F6E">
        <w:t>rorektor ds. kształcenia wydaje decyzję dotyczącą potwierdzenia efektów uczenia się, w terminie 14 dni</w:t>
      </w:r>
      <w:r>
        <w:t xml:space="preserve">. </w:t>
      </w:r>
    </w:p>
    <w:p w:rsidR="00992E45" w:rsidRDefault="00992E45" w:rsidP="00992E45">
      <w:pPr>
        <w:spacing w:after="240" w:line="240" w:lineRule="auto"/>
        <w:jc w:val="both"/>
      </w:pPr>
    </w:p>
    <w:p w:rsidR="00992E45" w:rsidRDefault="00992E45" w:rsidP="00992E45">
      <w:pPr>
        <w:spacing w:after="240" w:line="240" w:lineRule="auto"/>
        <w:jc w:val="both"/>
      </w:pPr>
    </w:p>
    <w:p w:rsidR="00015408" w:rsidRPr="00996DB6" w:rsidRDefault="00015408" w:rsidP="00A52AC2">
      <w:pPr>
        <w:spacing w:after="240" w:line="240" w:lineRule="auto"/>
        <w:jc w:val="both"/>
        <w:rPr>
          <w:b/>
        </w:rPr>
      </w:pPr>
      <w:r w:rsidRPr="00996DB6">
        <w:rPr>
          <w:b/>
        </w:rPr>
        <w:lastRenderedPageBreak/>
        <w:t>3.4. Przyjęci</w:t>
      </w:r>
      <w:r w:rsidR="006E1C80">
        <w:rPr>
          <w:b/>
        </w:rPr>
        <w:t>e</w:t>
      </w:r>
      <w:r w:rsidRPr="00996DB6">
        <w:rPr>
          <w:b/>
        </w:rPr>
        <w:t xml:space="preserve"> na studia w wyniku potwierdzenia efektów uczenia się</w:t>
      </w:r>
      <w:r w:rsidR="006E1C80">
        <w:rPr>
          <w:b/>
        </w:rPr>
        <w:t xml:space="preserve"> </w:t>
      </w:r>
    </w:p>
    <w:p w:rsidR="00F017F9" w:rsidRDefault="00F017F9" w:rsidP="00F017F9">
      <w:pPr>
        <w:spacing w:after="0" w:line="360" w:lineRule="auto"/>
        <w:ind w:left="284" w:right="284"/>
        <w:jc w:val="both"/>
      </w:pPr>
      <w:r>
        <w:t xml:space="preserve">Decyzję o przyjęciu na studia w wyniku potwierdzenia efektów uczenia się podejmuje przewodniczący Uczelnianej Komisji Rekrutacyjnej, uwzględniając ranking kandydatów sporządzony na podstawie ocen Komisji Weryfikującej Efekty Uczenia się. Liczba studentów na danym kierunku, poziomie i profilu kształcenia, którzy zostali przyjęci  na studia na podstawie najlepszych wyników uzyskanych w wyniku potwierdzenia efektów uczenia się, nie może być większa niż 20% ogólnej liczby studentów na tym kierunku, poziomie i profilu kształcenia.  </w:t>
      </w:r>
    </w:p>
    <w:p w:rsidR="00F017F9" w:rsidRDefault="00F017F9" w:rsidP="00F017F9">
      <w:pPr>
        <w:spacing w:after="0" w:line="360" w:lineRule="auto"/>
        <w:ind w:left="284" w:right="284"/>
        <w:jc w:val="both"/>
      </w:pPr>
      <w:r>
        <w:t xml:space="preserve">Przyjęcia na studia następują w terminach ustalonych w harmonogramie rekrutacji na dany rok akademicki. </w:t>
      </w:r>
    </w:p>
    <w:p w:rsidR="00AA79EF" w:rsidRPr="00996DB6" w:rsidRDefault="00F017F9" w:rsidP="00F017F9">
      <w:pPr>
        <w:spacing w:after="240" w:line="360" w:lineRule="auto"/>
        <w:ind w:left="284" w:right="284"/>
        <w:jc w:val="both"/>
      </w:pPr>
      <w:r>
        <w:t xml:space="preserve">Szczegółowe warunki przyjęcia na studia osób, którym potwierdzono efekty uczenia się określa uchwała Senatu w sprawie ustalenia warunków, trybu oraz terminu rozpoczęcia i zakończenia rekrutacji na studia w Politechnice Koszalińskiej. </w:t>
      </w:r>
    </w:p>
    <w:p w:rsidR="00024B24" w:rsidRPr="00996DB6" w:rsidRDefault="00015408" w:rsidP="00A52AC2">
      <w:pPr>
        <w:spacing w:after="240" w:line="240" w:lineRule="auto"/>
        <w:jc w:val="both"/>
        <w:rPr>
          <w:b/>
        </w:rPr>
      </w:pPr>
      <w:r w:rsidRPr="00996DB6">
        <w:rPr>
          <w:b/>
        </w:rPr>
        <w:t>3.5</w:t>
      </w:r>
      <w:r w:rsidR="00E229B6" w:rsidRPr="00996DB6">
        <w:rPr>
          <w:b/>
        </w:rPr>
        <w:t xml:space="preserve">. </w:t>
      </w:r>
      <w:r w:rsidR="00024B24" w:rsidRPr="00996DB6">
        <w:rPr>
          <w:b/>
        </w:rPr>
        <w:t>Tryb odwoławczy</w:t>
      </w:r>
    </w:p>
    <w:p w:rsidR="00D63F10" w:rsidRPr="00996DB6" w:rsidRDefault="00F017F9" w:rsidP="007E4568">
      <w:pPr>
        <w:autoSpaceDE w:val="0"/>
        <w:autoSpaceDN w:val="0"/>
        <w:adjustRightInd w:val="0"/>
        <w:spacing w:after="240" w:line="360" w:lineRule="auto"/>
        <w:ind w:left="284" w:right="284"/>
        <w:jc w:val="both"/>
        <w:rPr>
          <w:bCs/>
          <w:color w:val="000000"/>
        </w:rPr>
      </w:pPr>
      <w:r w:rsidRPr="00F017F9">
        <w:t>Kandydatom przysługuje odwołanie od decyzji Komisji Weryfikującej  Efekty Uczenia się do Rektora Politechniki Koszalińskiej w terminie 14 dni od dostarczenia decyzji. Odwołanie wnosi się za pośrednictwem Uczelnianej Komisji Rekrutacyjnej</w:t>
      </w:r>
      <w:r>
        <w:t>.</w:t>
      </w:r>
      <w:r w:rsidRPr="00F017F9">
        <w:t xml:space="preserve"> Rektor podejmuje decyzję w terminie 30 dni od dnia wniesienia odwołania. W przypadku uzasadnionych wątpliwości Rektor kieruje wniosek o ponowne rozpatrzenie do Komisji Weryfikującej  Efekty Uczenia się.</w:t>
      </w:r>
    </w:p>
    <w:p w:rsidR="00696914" w:rsidRPr="00996DB6" w:rsidRDefault="00696914" w:rsidP="00A52AC2">
      <w:pPr>
        <w:pStyle w:val="Akapitzlist"/>
        <w:numPr>
          <w:ilvl w:val="0"/>
          <w:numId w:val="2"/>
        </w:numPr>
        <w:spacing w:after="240" w:line="240" w:lineRule="auto"/>
        <w:contextualSpacing w:val="0"/>
        <w:jc w:val="both"/>
        <w:rPr>
          <w:b/>
        </w:rPr>
      </w:pPr>
      <w:r w:rsidRPr="00996DB6">
        <w:rPr>
          <w:b/>
        </w:rPr>
        <w:t>Dokumenty i formularze</w:t>
      </w:r>
    </w:p>
    <w:p w:rsidR="00216CCA" w:rsidRPr="00996DB6" w:rsidRDefault="00104715" w:rsidP="00104715">
      <w:pPr>
        <w:spacing w:after="0" w:line="360" w:lineRule="auto"/>
        <w:jc w:val="both"/>
      </w:pPr>
      <w:r>
        <w:t>w przygotowaniu</w:t>
      </w:r>
    </w:p>
    <w:p w:rsidR="00A52AC2" w:rsidRPr="00996DB6" w:rsidRDefault="00A52AC2" w:rsidP="00A52AC2">
      <w:pPr>
        <w:spacing w:after="0" w:line="240" w:lineRule="auto"/>
        <w:ind w:left="1077"/>
        <w:jc w:val="both"/>
      </w:pPr>
    </w:p>
    <w:p w:rsidR="003B6CA3" w:rsidRDefault="003B6CA3" w:rsidP="0062611E">
      <w:pPr>
        <w:spacing w:after="0" w:line="240" w:lineRule="auto"/>
        <w:jc w:val="both"/>
      </w:pPr>
      <w:bookmarkStart w:id="0" w:name="_GoBack"/>
      <w:bookmarkEnd w:id="0"/>
    </w:p>
    <w:p w:rsidR="00735634" w:rsidRPr="00996DB6" w:rsidRDefault="00735634" w:rsidP="0062611E">
      <w:pPr>
        <w:spacing w:after="0" w:line="240" w:lineRule="auto"/>
        <w:jc w:val="both"/>
      </w:pPr>
    </w:p>
    <w:p w:rsidR="00735634" w:rsidRDefault="00735634" w:rsidP="00735634">
      <w:r>
        <w:t xml:space="preserve">Zatwierdzono Uchwałą Rady Wydziału z dnia 23 lutego 2017 r. </w:t>
      </w:r>
    </w:p>
    <w:p w:rsidR="00735634" w:rsidRDefault="00735634" w:rsidP="00735634">
      <w:r>
        <w:t xml:space="preserve">Zmodyfikowano </w:t>
      </w:r>
      <w:r w:rsidR="00F543EC">
        <w:t>10</w:t>
      </w:r>
      <w:r>
        <w:t xml:space="preserve"> </w:t>
      </w:r>
      <w:r w:rsidR="00F543EC">
        <w:t>grudnia</w:t>
      </w:r>
      <w:r>
        <w:t xml:space="preserve"> 20</w:t>
      </w:r>
      <w:r w:rsidR="00F543EC">
        <w:t>21</w:t>
      </w:r>
      <w:r>
        <w:t xml:space="preserve"> r. </w:t>
      </w:r>
    </w:p>
    <w:p w:rsidR="00735634" w:rsidRDefault="00735634" w:rsidP="00735634"/>
    <w:p w:rsidR="00735634" w:rsidRDefault="00735634" w:rsidP="00735634">
      <w:pPr>
        <w:tabs>
          <w:tab w:val="left" w:pos="6096"/>
          <w:tab w:val="right" w:leader="dot" w:pos="8647"/>
        </w:tabs>
        <w:spacing w:after="0" w:line="240" w:lineRule="auto"/>
      </w:pPr>
      <w:r>
        <w:tab/>
      </w:r>
      <w:r>
        <w:tab/>
      </w:r>
    </w:p>
    <w:p w:rsidR="00735634" w:rsidRDefault="00735634" w:rsidP="00735634">
      <w:pPr>
        <w:tabs>
          <w:tab w:val="center" w:pos="7371"/>
        </w:tabs>
        <w:spacing w:after="0" w:line="240" w:lineRule="auto"/>
        <w:rPr>
          <w:i/>
        </w:rPr>
      </w:pPr>
      <w:r>
        <w:rPr>
          <w:i/>
        </w:rPr>
        <w:tab/>
        <w:t>podpis dyrektora</w:t>
      </w:r>
    </w:p>
    <w:p w:rsidR="00FD0176" w:rsidRDefault="00FD0176" w:rsidP="00FD0176">
      <w:pPr>
        <w:tabs>
          <w:tab w:val="center" w:pos="7371"/>
        </w:tabs>
        <w:spacing w:after="0" w:line="360" w:lineRule="auto"/>
      </w:pPr>
    </w:p>
    <w:p w:rsidR="00F017F9" w:rsidRPr="00FD0176" w:rsidRDefault="00F017F9" w:rsidP="00FD0176">
      <w:pPr>
        <w:tabs>
          <w:tab w:val="center" w:pos="7371"/>
        </w:tabs>
        <w:spacing w:after="0" w:line="360" w:lineRule="auto"/>
      </w:pPr>
    </w:p>
    <w:sectPr w:rsidR="00F017F9" w:rsidRPr="00FD0176" w:rsidSect="00E7321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1CDF" w:rsidRDefault="00891CDF" w:rsidP="001A3CEB">
      <w:pPr>
        <w:spacing w:after="0" w:line="240" w:lineRule="auto"/>
      </w:pPr>
      <w:r>
        <w:separator/>
      </w:r>
    </w:p>
  </w:endnote>
  <w:endnote w:type="continuationSeparator" w:id="0">
    <w:p w:rsidR="00891CDF" w:rsidRDefault="00891CDF" w:rsidP="001A3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NewRomanPS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1CDF" w:rsidRDefault="00891CDF" w:rsidP="001A3CEB">
      <w:pPr>
        <w:spacing w:after="0" w:line="240" w:lineRule="auto"/>
      </w:pPr>
      <w:r>
        <w:separator/>
      </w:r>
    </w:p>
  </w:footnote>
  <w:footnote w:type="continuationSeparator" w:id="0">
    <w:p w:rsidR="00891CDF" w:rsidRDefault="00891CDF" w:rsidP="001A3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3CEB" w:rsidRDefault="001A3CEB" w:rsidP="001A3CEB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3216" w:rsidRDefault="00104715" w:rsidP="00E73216">
    <w:pPr>
      <w:pStyle w:val="Nagwek"/>
      <w:jc w:val="center"/>
    </w:pPr>
    <w:r w:rsidRPr="00104715">
      <w:rPr>
        <w:noProof/>
        <w:lang w:eastAsia="pl-PL"/>
      </w:rPr>
      <w:drawing>
        <wp:inline distT="0" distB="0" distL="0" distR="0">
          <wp:extent cx="3630316" cy="1136318"/>
          <wp:effectExtent l="19050" t="0" r="8234" b="0"/>
          <wp:docPr id="2" name="Obraz 1" descr="C:\Users\Admin\Desktop\Inżynieria i Automatyzacja w Przemyśle Drzewnym\Logo, druki firmowe\PK+WP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esktop\Inżynieria i Automatyzacja w Przemyśle Drzewnym\Logo, druki firmowe\PK+WP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40607" cy="1139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701"/>
    <w:multiLevelType w:val="hybridMultilevel"/>
    <w:tmpl w:val="4A90F1D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C571445"/>
    <w:multiLevelType w:val="hybridMultilevel"/>
    <w:tmpl w:val="AE6A9D5C"/>
    <w:lvl w:ilvl="0" w:tplc="F09637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549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EEF287D"/>
    <w:multiLevelType w:val="hybridMultilevel"/>
    <w:tmpl w:val="806EA4DC"/>
    <w:lvl w:ilvl="0" w:tplc="B22CCB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4DB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E07805"/>
    <w:multiLevelType w:val="hybridMultilevel"/>
    <w:tmpl w:val="53C64F9A"/>
    <w:lvl w:ilvl="0" w:tplc="1CC40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42427D"/>
    <w:multiLevelType w:val="multilevel"/>
    <w:tmpl w:val="07603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A57A9"/>
    <w:multiLevelType w:val="hybridMultilevel"/>
    <w:tmpl w:val="57E2D6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F425D"/>
    <w:multiLevelType w:val="hybridMultilevel"/>
    <w:tmpl w:val="2C869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105700"/>
    <w:multiLevelType w:val="hybridMultilevel"/>
    <w:tmpl w:val="C13CAB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28397B"/>
    <w:multiLevelType w:val="hybridMultilevel"/>
    <w:tmpl w:val="A6244186"/>
    <w:lvl w:ilvl="0" w:tplc="55E6BD2A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9E0A31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91A4D"/>
    <w:multiLevelType w:val="hybridMultilevel"/>
    <w:tmpl w:val="5FAA84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59115AF"/>
    <w:multiLevelType w:val="hybridMultilevel"/>
    <w:tmpl w:val="1A441B3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E4B4AD4"/>
    <w:multiLevelType w:val="hybridMultilevel"/>
    <w:tmpl w:val="FADEC18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FC50133"/>
    <w:multiLevelType w:val="hybridMultilevel"/>
    <w:tmpl w:val="557A7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55BD0"/>
    <w:multiLevelType w:val="hybridMultilevel"/>
    <w:tmpl w:val="01986F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2737E"/>
    <w:multiLevelType w:val="hybridMultilevel"/>
    <w:tmpl w:val="F7E48A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87181"/>
    <w:multiLevelType w:val="hybridMultilevel"/>
    <w:tmpl w:val="6A26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47707"/>
    <w:multiLevelType w:val="hybridMultilevel"/>
    <w:tmpl w:val="1D164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95AC2"/>
    <w:multiLevelType w:val="hybridMultilevel"/>
    <w:tmpl w:val="300CAAE8"/>
    <w:lvl w:ilvl="0" w:tplc="F45060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D40B4"/>
    <w:multiLevelType w:val="hybridMultilevel"/>
    <w:tmpl w:val="03A668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15"/>
  </w:num>
  <w:num w:numId="5">
    <w:abstractNumId w:val="16"/>
  </w:num>
  <w:num w:numId="6">
    <w:abstractNumId w:val="10"/>
  </w:num>
  <w:num w:numId="7">
    <w:abstractNumId w:val="3"/>
  </w:num>
  <w:num w:numId="8">
    <w:abstractNumId w:val="5"/>
  </w:num>
  <w:num w:numId="9">
    <w:abstractNumId w:val="1"/>
  </w:num>
  <w:num w:numId="10">
    <w:abstractNumId w:val="1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7"/>
  </w:num>
  <w:num w:numId="14">
    <w:abstractNumId w:val="19"/>
  </w:num>
  <w:num w:numId="15">
    <w:abstractNumId w:val="20"/>
  </w:num>
  <w:num w:numId="16">
    <w:abstractNumId w:val="17"/>
  </w:num>
  <w:num w:numId="17">
    <w:abstractNumId w:val="9"/>
  </w:num>
  <w:num w:numId="18">
    <w:abstractNumId w:val="0"/>
  </w:num>
  <w:num w:numId="19">
    <w:abstractNumId w:val="18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E68"/>
    <w:rsid w:val="00015408"/>
    <w:rsid w:val="00020A94"/>
    <w:rsid w:val="00024B24"/>
    <w:rsid w:val="0002623C"/>
    <w:rsid w:val="00031C59"/>
    <w:rsid w:val="00035132"/>
    <w:rsid w:val="00042B28"/>
    <w:rsid w:val="000463F5"/>
    <w:rsid w:val="00054E19"/>
    <w:rsid w:val="00086B81"/>
    <w:rsid w:val="000947DD"/>
    <w:rsid w:val="000A0694"/>
    <w:rsid w:val="000A0C87"/>
    <w:rsid w:val="000B3556"/>
    <w:rsid w:val="000B7E3A"/>
    <w:rsid w:val="000C2EA9"/>
    <w:rsid w:val="000D58E0"/>
    <w:rsid w:val="000E2F2D"/>
    <w:rsid w:val="000F290B"/>
    <w:rsid w:val="00104715"/>
    <w:rsid w:val="0010763F"/>
    <w:rsid w:val="00121235"/>
    <w:rsid w:val="001233F5"/>
    <w:rsid w:val="001372DA"/>
    <w:rsid w:val="00143404"/>
    <w:rsid w:val="00160428"/>
    <w:rsid w:val="0016386F"/>
    <w:rsid w:val="00165081"/>
    <w:rsid w:val="0017356C"/>
    <w:rsid w:val="00177DF2"/>
    <w:rsid w:val="00181EB2"/>
    <w:rsid w:val="001A2F20"/>
    <w:rsid w:val="001A3CEB"/>
    <w:rsid w:val="001B0C90"/>
    <w:rsid w:val="001B347E"/>
    <w:rsid w:val="001C30F4"/>
    <w:rsid w:val="001E2894"/>
    <w:rsid w:val="001E5553"/>
    <w:rsid w:val="00206195"/>
    <w:rsid w:val="00216CCA"/>
    <w:rsid w:val="00230CA1"/>
    <w:rsid w:val="002428D0"/>
    <w:rsid w:val="002433DE"/>
    <w:rsid w:val="00243E76"/>
    <w:rsid w:val="00257DFF"/>
    <w:rsid w:val="002634FB"/>
    <w:rsid w:val="002635C6"/>
    <w:rsid w:val="00271F51"/>
    <w:rsid w:val="00281A62"/>
    <w:rsid w:val="00291599"/>
    <w:rsid w:val="002C3851"/>
    <w:rsid w:val="002D668F"/>
    <w:rsid w:val="002D6A84"/>
    <w:rsid w:val="00311D89"/>
    <w:rsid w:val="003220E8"/>
    <w:rsid w:val="00327746"/>
    <w:rsid w:val="00352EB6"/>
    <w:rsid w:val="00360482"/>
    <w:rsid w:val="00377636"/>
    <w:rsid w:val="003A2C5B"/>
    <w:rsid w:val="003A48E5"/>
    <w:rsid w:val="003A5E41"/>
    <w:rsid w:val="003B4F60"/>
    <w:rsid w:val="003B6CA3"/>
    <w:rsid w:val="003C1E82"/>
    <w:rsid w:val="003C5566"/>
    <w:rsid w:val="003D1C5C"/>
    <w:rsid w:val="003E1A6D"/>
    <w:rsid w:val="003F5645"/>
    <w:rsid w:val="00405721"/>
    <w:rsid w:val="00440CF2"/>
    <w:rsid w:val="00455940"/>
    <w:rsid w:val="00460397"/>
    <w:rsid w:val="004736B6"/>
    <w:rsid w:val="00485BD3"/>
    <w:rsid w:val="004A57F3"/>
    <w:rsid w:val="004B15CA"/>
    <w:rsid w:val="004B2D15"/>
    <w:rsid w:val="004B6A75"/>
    <w:rsid w:val="004C695E"/>
    <w:rsid w:val="004D27B4"/>
    <w:rsid w:val="004E7FA2"/>
    <w:rsid w:val="004F397D"/>
    <w:rsid w:val="00501FFC"/>
    <w:rsid w:val="00502C79"/>
    <w:rsid w:val="00525885"/>
    <w:rsid w:val="00554250"/>
    <w:rsid w:val="005615E3"/>
    <w:rsid w:val="0057410D"/>
    <w:rsid w:val="00583042"/>
    <w:rsid w:val="00593094"/>
    <w:rsid w:val="005C1F42"/>
    <w:rsid w:val="005D1D4F"/>
    <w:rsid w:val="005F5DAA"/>
    <w:rsid w:val="00600125"/>
    <w:rsid w:val="0060180E"/>
    <w:rsid w:val="00602235"/>
    <w:rsid w:val="00616F84"/>
    <w:rsid w:val="00625611"/>
    <w:rsid w:val="0062611E"/>
    <w:rsid w:val="006263F9"/>
    <w:rsid w:val="00633E17"/>
    <w:rsid w:val="00647E68"/>
    <w:rsid w:val="00655F32"/>
    <w:rsid w:val="00660FD3"/>
    <w:rsid w:val="00664713"/>
    <w:rsid w:val="00690091"/>
    <w:rsid w:val="00691474"/>
    <w:rsid w:val="00696914"/>
    <w:rsid w:val="006B1F11"/>
    <w:rsid w:val="006C3FAC"/>
    <w:rsid w:val="006D1348"/>
    <w:rsid w:val="006E0C32"/>
    <w:rsid w:val="006E1C80"/>
    <w:rsid w:val="006E64DA"/>
    <w:rsid w:val="006F212E"/>
    <w:rsid w:val="006F4C1A"/>
    <w:rsid w:val="00712838"/>
    <w:rsid w:val="007255E3"/>
    <w:rsid w:val="007333AA"/>
    <w:rsid w:val="00735634"/>
    <w:rsid w:val="00755342"/>
    <w:rsid w:val="007672F4"/>
    <w:rsid w:val="007759FF"/>
    <w:rsid w:val="00777F74"/>
    <w:rsid w:val="007B1001"/>
    <w:rsid w:val="007B319C"/>
    <w:rsid w:val="007C3890"/>
    <w:rsid w:val="007D597A"/>
    <w:rsid w:val="007E071E"/>
    <w:rsid w:val="007E4568"/>
    <w:rsid w:val="00806EEA"/>
    <w:rsid w:val="008156F9"/>
    <w:rsid w:val="00820163"/>
    <w:rsid w:val="00827A0B"/>
    <w:rsid w:val="00833877"/>
    <w:rsid w:val="0086009F"/>
    <w:rsid w:val="00872DA3"/>
    <w:rsid w:val="00885122"/>
    <w:rsid w:val="00891CDF"/>
    <w:rsid w:val="00894C77"/>
    <w:rsid w:val="008A0CB2"/>
    <w:rsid w:val="008A16CB"/>
    <w:rsid w:val="008A7EBC"/>
    <w:rsid w:val="008B2069"/>
    <w:rsid w:val="008B2AE6"/>
    <w:rsid w:val="008B5F33"/>
    <w:rsid w:val="008C1E7A"/>
    <w:rsid w:val="008C2E10"/>
    <w:rsid w:val="008C61B7"/>
    <w:rsid w:val="008E257F"/>
    <w:rsid w:val="008E7FC4"/>
    <w:rsid w:val="008F1FF1"/>
    <w:rsid w:val="008F684B"/>
    <w:rsid w:val="00902F6E"/>
    <w:rsid w:val="009132D0"/>
    <w:rsid w:val="009201E4"/>
    <w:rsid w:val="00932274"/>
    <w:rsid w:val="00970BA0"/>
    <w:rsid w:val="0097372F"/>
    <w:rsid w:val="00992E45"/>
    <w:rsid w:val="009934C1"/>
    <w:rsid w:val="00996DB6"/>
    <w:rsid w:val="0099722D"/>
    <w:rsid w:val="009A2976"/>
    <w:rsid w:val="009A2B7E"/>
    <w:rsid w:val="009C79B6"/>
    <w:rsid w:val="009E712E"/>
    <w:rsid w:val="00A053AB"/>
    <w:rsid w:val="00A354A9"/>
    <w:rsid w:val="00A52AC2"/>
    <w:rsid w:val="00A67468"/>
    <w:rsid w:val="00A7447A"/>
    <w:rsid w:val="00A828E2"/>
    <w:rsid w:val="00A8790B"/>
    <w:rsid w:val="00A94022"/>
    <w:rsid w:val="00A956AC"/>
    <w:rsid w:val="00AA79EF"/>
    <w:rsid w:val="00AE0FD5"/>
    <w:rsid w:val="00AE4313"/>
    <w:rsid w:val="00AF38FC"/>
    <w:rsid w:val="00AF783A"/>
    <w:rsid w:val="00B01405"/>
    <w:rsid w:val="00B2160C"/>
    <w:rsid w:val="00B251CB"/>
    <w:rsid w:val="00B512A6"/>
    <w:rsid w:val="00B634E6"/>
    <w:rsid w:val="00B64731"/>
    <w:rsid w:val="00BA0753"/>
    <w:rsid w:val="00BB004C"/>
    <w:rsid w:val="00BC3601"/>
    <w:rsid w:val="00BC5DA1"/>
    <w:rsid w:val="00BC7F16"/>
    <w:rsid w:val="00BD30F0"/>
    <w:rsid w:val="00BE18BC"/>
    <w:rsid w:val="00BF651F"/>
    <w:rsid w:val="00C064A9"/>
    <w:rsid w:val="00C11C49"/>
    <w:rsid w:val="00C129BF"/>
    <w:rsid w:val="00C13060"/>
    <w:rsid w:val="00C2290F"/>
    <w:rsid w:val="00C264A9"/>
    <w:rsid w:val="00C27F66"/>
    <w:rsid w:val="00C31755"/>
    <w:rsid w:val="00C47421"/>
    <w:rsid w:val="00C63AE9"/>
    <w:rsid w:val="00C72A62"/>
    <w:rsid w:val="00C75C02"/>
    <w:rsid w:val="00C86CDD"/>
    <w:rsid w:val="00C971B6"/>
    <w:rsid w:val="00CB6348"/>
    <w:rsid w:val="00CB761A"/>
    <w:rsid w:val="00CC5C2D"/>
    <w:rsid w:val="00CC6686"/>
    <w:rsid w:val="00CE75D4"/>
    <w:rsid w:val="00CE761E"/>
    <w:rsid w:val="00CF56BE"/>
    <w:rsid w:val="00D02BFC"/>
    <w:rsid w:val="00D1664A"/>
    <w:rsid w:val="00D1717B"/>
    <w:rsid w:val="00D17245"/>
    <w:rsid w:val="00D331D9"/>
    <w:rsid w:val="00D340C1"/>
    <w:rsid w:val="00D359D1"/>
    <w:rsid w:val="00D63F10"/>
    <w:rsid w:val="00D83E9B"/>
    <w:rsid w:val="00D856CB"/>
    <w:rsid w:val="00D96106"/>
    <w:rsid w:val="00DC77AF"/>
    <w:rsid w:val="00DD669C"/>
    <w:rsid w:val="00DE113A"/>
    <w:rsid w:val="00DF663B"/>
    <w:rsid w:val="00E14B54"/>
    <w:rsid w:val="00E17E20"/>
    <w:rsid w:val="00E229B6"/>
    <w:rsid w:val="00E2468C"/>
    <w:rsid w:val="00E64651"/>
    <w:rsid w:val="00E65CD4"/>
    <w:rsid w:val="00E70940"/>
    <w:rsid w:val="00E73216"/>
    <w:rsid w:val="00E7711A"/>
    <w:rsid w:val="00E808B7"/>
    <w:rsid w:val="00E86179"/>
    <w:rsid w:val="00E86EDD"/>
    <w:rsid w:val="00EA5496"/>
    <w:rsid w:val="00EA7B13"/>
    <w:rsid w:val="00ED1E72"/>
    <w:rsid w:val="00EE3D84"/>
    <w:rsid w:val="00F017F9"/>
    <w:rsid w:val="00F12C05"/>
    <w:rsid w:val="00F16CEB"/>
    <w:rsid w:val="00F23B61"/>
    <w:rsid w:val="00F325BB"/>
    <w:rsid w:val="00F511B9"/>
    <w:rsid w:val="00F543EC"/>
    <w:rsid w:val="00F61156"/>
    <w:rsid w:val="00F81F01"/>
    <w:rsid w:val="00F91BE8"/>
    <w:rsid w:val="00F97329"/>
    <w:rsid w:val="00FA50F2"/>
    <w:rsid w:val="00FB2098"/>
    <w:rsid w:val="00FB5F26"/>
    <w:rsid w:val="00FD0176"/>
    <w:rsid w:val="00FF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000E7"/>
  <w15:docId w15:val="{06E69980-7F66-4037-BF92-3B8C8A70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79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E68"/>
    <w:pPr>
      <w:suppressAutoHyphens/>
      <w:ind w:left="720"/>
      <w:contextualSpacing/>
    </w:pPr>
    <w:rPr>
      <w:rFonts w:eastAsia="Droid Sans Fallback" w:cs="Calibri"/>
    </w:rPr>
  </w:style>
  <w:style w:type="paragraph" w:styleId="Tekstpodstawowy">
    <w:name w:val="Body Text"/>
    <w:basedOn w:val="Normalny"/>
    <w:link w:val="TekstpodstawowyZnak"/>
    <w:rsid w:val="00165081"/>
    <w:pPr>
      <w:widowControl w:val="0"/>
      <w:snapToGrid w:val="0"/>
      <w:spacing w:after="0" w:line="240" w:lineRule="auto"/>
    </w:pPr>
    <w:rPr>
      <w:rFonts w:ascii="TimesNewRomanPS" w:eastAsia="Times New Roman" w:hAnsi="TimesNewRomanPS"/>
      <w:color w:val="000000"/>
      <w:sz w:val="24"/>
      <w:szCs w:val="20"/>
    </w:rPr>
  </w:style>
  <w:style w:type="character" w:customStyle="1" w:styleId="TekstpodstawowyZnak">
    <w:name w:val="Tekst podstawowy Znak"/>
    <w:link w:val="Tekstpodstawowy"/>
    <w:rsid w:val="00165081"/>
    <w:rPr>
      <w:rFonts w:ascii="TimesNewRomanPS" w:eastAsia="Times New Roman" w:hAnsi="TimesNewRomanPS"/>
      <w:color w:val="000000"/>
      <w:sz w:val="24"/>
    </w:rPr>
  </w:style>
  <w:style w:type="character" w:customStyle="1" w:styleId="apple-converted-space">
    <w:name w:val="apple-converted-space"/>
    <w:rsid w:val="001E2894"/>
  </w:style>
  <w:style w:type="paragraph" w:styleId="Nagwek">
    <w:name w:val="header"/>
    <w:basedOn w:val="Normalny"/>
    <w:link w:val="NagwekZnak"/>
    <w:uiPriority w:val="99"/>
    <w:unhideWhenUsed/>
    <w:rsid w:val="001A3CE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3CE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A3CE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A3CE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3C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CE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5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26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2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23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2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5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0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72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63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95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03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3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3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5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8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82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25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9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7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1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6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0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5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7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1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5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1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4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4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1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CB031-2E80-4157-BEC7-C4579609B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Koszalińska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Sławomir NAGNAJEWICZ</cp:lastModifiedBy>
  <cp:revision>9</cp:revision>
  <cp:lastPrinted>2015-12-22T11:37:00Z</cp:lastPrinted>
  <dcterms:created xsi:type="dcterms:W3CDTF">2020-11-11T19:47:00Z</dcterms:created>
  <dcterms:modified xsi:type="dcterms:W3CDTF">2022-02-16T11:27:00Z</dcterms:modified>
</cp:coreProperties>
</file>