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A041E" w:rsidP="00F32C50">
            <w:pPr>
              <w:spacing w:after="0" w:line="240" w:lineRule="auto"/>
              <w:rPr>
                <w:rFonts w:ascii="Times New Roman" w:hAnsi="Times New Roman"/>
                <w:b/>
                <w:lang w:val="en-US"/>
              </w:rPr>
            </w:pPr>
            <w:r w:rsidRPr="00A623FF">
              <w:rPr>
                <w:rFonts w:ascii="Times New Roman" w:hAnsi="Times New Roman"/>
                <w:b/>
                <w:lang w:val="en-US"/>
              </w:rPr>
              <w:t>TOURISM</w:t>
            </w:r>
            <w:r>
              <w:rPr>
                <w:rFonts w:ascii="Times New Roman" w:hAnsi="Times New Roman"/>
                <w:b/>
                <w:lang w:val="en-US"/>
              </w:rPr>
              <w:t xml:space="preserve"> AND RECREATION</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A041E"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E773F9"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r w:rsidR="00AB4D8F">
              <w:rPr>
                <w:rFonts w:ascii="Times New Roman" w:hAnsi="Times New Roman"/>
                <w:spacing w:val="-4"/>
                <w:lang w:val="en-US"/>
              </w:rPr>
              <w:t>, maria.klonowska-matynia@tu.koszalin.pl</w:t>
            </w:r>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AB4D8F" w:rsidP="00F32C50">
            <w:pPr>
              <w:spacing w:after="0" w:line="240" w:lineRule="auto"/>
              <w:rPr>
                <w:rFonts w:ascii="Times New Roman" w:hAnsi="Times New Roman"/>
                <w:lang w:val="en-US"/>
              </w:rPr>
            </w:pPr>
            <w:r>
              <w:rPr>
                <w:rFonts w:ascii="Times New Roman" w:hAnsi="Times New Roman"/>
                <w:lang w:val="en-US"/>
              </w:rPr>
              <w:t>2023/2024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E773F9" w:rsidP="00F32C5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w:t>
            </w:r>
            <w:r w:rsidRPr="00A623FF">
              <w:rPr>
                <w:rFonts w:ascii="Times New Roman" w:hAnsi="Times New Roman"/>
                <w:lang w:val="en-US"/>
              </w:rPr>
              <w:lastRenderedPageBreak/>
              <w:t xml:space="preserve">utility. Total utility and marginal. The law of 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171F3"/>
    <w:rsid w:val="000408A0"/>
    <w:rsid w:val="0008271A"/>
    <w:rsid w:val="000A0A68"/>
    <w:rsid w:val="000A218E"/>
    <w:rsid w:val="000A5B88"/>
    <w:rsid w:val="000B1F56"/>
    <w:rsid w:val="000C4296"/>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65B68"/>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56D89"/>
    <w:rsid w:val="00A623FF"/>
    <w:rsid w:val="00A7451A"/>
    <w:rsid w:val="00AA713A"/>
    <w:rsid w:val="00AB4D8F"/>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773F9"/>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docId w15:val="{6795115B-2019-491B-BC65-49A8A62BA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2956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2019-02-28T13:44:00Z</dcterms:created>
  <dcterms:modified xsi:type="dcterms:W3CDTF">2023-11-07T13:28:00Z</dcterms:modified>
</cp:coreProperties>
</file>