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B4A" w:rsidRPr="00C45F8D" w:rsidRDefault="00632CBA">
      <w:pPr>
        <w:rPr>
          <w:rFonts w:ascii="Calibri" w:hAnsi="Calibri" w:cs="Calibri"/>
          <w:sz w:val="24"/>
          <w:szCs w:val="24"/>
        </w:rPr>
      </w:pPr>
      <w:r w:rsidRPr="00C45F8D">
        <w:rPr>
          <w:rFonts w:ascii="Calibri" w:hAnsi="Calibri" w:cs="Calibri"/>
          <w:sz w:val="24"/>
          <w:szCs w:val="24"/>
        </w:rPr>
        <w:t>International – Katalog ECTS</w:t>
      </w:r>
    </w:p>
    <w:p w:rsidR="0020185D" w:rsidRPr="00C45F8D" w:rsidRDefault="0020185D" w:rsidP="0020185D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C45F8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GRADING AND ECTS CREDITS</w:t>
      </w:r>
    </w:p>
    <w:p w:rsidR="0020185D" w:rsidRPr="00C45F8D" w:rsidRDefault="0020185D" w:rsidP="0020185D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C45F8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General </w:t>
      </w:r>
      <w:proofErr w:type="spellStart"/>
      <w:r w:rsidRPr="00C45F8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information</w:t>
      </w:r>
      <w:proofErr w:type="spellEnd"/>
      <w:r w:rsidRPr="00C45F8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proofErr w:type="spellStart"/>
      <w:r w:rsidRPr="00C45F8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about</w:t>
      </w:r>
      <w:proofErr w:type="spellEnd"/>
      <w:r w:rsidRPr="00C45F8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ECTS:</w:t>
      </w:r>
    </w:p>
    <w:p w:rsidR="0020185D" w:rsidRPr="00C45F8D" w:rsidRDefault="0020185D" w:rsidP="0020185D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In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addition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to the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grading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scale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,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there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are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HEIs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in the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European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Credit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Transfer System (ECTS)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under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which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a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certain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number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of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credits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is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allocated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to a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given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subject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,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independently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of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marks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awarded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. To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complete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a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year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successfully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, the student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has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to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collect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60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credits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(30 per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semester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).</w:t>
      </w:r>
    </w:p>
    <w:p w:rsidR="0020185D" w:rsidRPr="00C45F8D" w:rsidRDefault="0020185D" w:rsidP="0020185D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The ECTS (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European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Credit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Transfer System)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is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the standard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adopted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by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all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universities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in the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European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Higher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Education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Area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(EHEA) in the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process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of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convergence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between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Europe’s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higher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education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s</w:t>
      </w:r>
      <w:r w:rsidR="00B23279" w:rsidRPr="00C45F8D">
        <w:rPr>
          <w:rFonts w:ascii="Calibri" w:eastAsia="Times New Roman" w:hAnsi="Calibri" w:cs="Calibri"/>
          <w:sz w:val="24"/>
          <w:szCs w:val="24"/>
          <w:lang w:eastAsia="pl-PL"/>
        </w:rPr>
        <w:t>ystems</w:t>
      </w:r>
      <w:proofErr w:type="spellEnd"/>
      <w:r w:rsidR="00B23279"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. </w:t>
      </w:r>
      <w:proofErr w:type="spellStart"/>
      <w:r w:rsidR="00B23279" w:rsidRPr="00C45F8D">
        <w:rPr>
          <w:rFonts w:ascii="Calibri" w:eastAsia="Times New Roman" w:hAnsi="Calibri" w:cs="Calibri"/>
          <w:sz w:val="24"/>
          <w:szCs w:val="24"/>
          <w:lang w:eastAsia="pl-PL"/>
        </w:rPr>
        <w:t>Since</w:t>
      </w:r>
      <w:proofErr w:type="spellEnd"/>
      <w:r w:rsidR="00B23279"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2007, </w:t>
      </w:r>
      <w:proofErr w:type="spellStart"/>
      <w:r w:rsidR="00B23279" w:rsidRPr="00C45F8D">
        <w:rPr>
          <w:rFonts w:ascii="Calibri" w:eastAsia="Times New Roman" w:hAnsi="Calibri" w:cs="Calibri"/>
          <w:sz w:val="24"/>
          <w:szCs w:val="24"/>
          <w:lang w:eastAsia="pl-PL"/>
        </w:rPr>
        <w:t>all</w:t>
      </w:r>
      <w:proofErr w:type="spellEnd"/>
      <w:r w:rsidR="00B23279"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="00B23279" w:rsidRPr="00C45F8D">
        <w:rPr>
          <w:rFonts w:ascii="Calibri" w:eastAsia="Times New Roman" w:hAnsi="Calibri" w:cs="Calibri"/>
          <w:sz w:val="24"/>
          <w:szCs w:val="24"/>
          <w:lang w:eastAsia="pl-PL"/>
        </w:rPr>
        <w:t>Polish</w:t>
      </w:r>
      <w:proofErr w:type="spellEnd"/>
      <w:r w:rsidR="00B23279"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="00B23279" w:rsidRPr="00C45F8D">
        <w:rPr>
          <w:rFonts w:ascii="Calibri" w:eastAsia="Times New Roman" w:hAnsi="Calibri" w:cs="Calibri"/>
          <w:sz w:val="24"/>
          <w:szCs w:val="24"/>
          <w:lang w:eastAsia="pl-PL"/>
        </w:rPr>
        <w:t>Higher</w:t>
      </w:r>
      <w:proofErr w:type="spellEnd"/>
      <w:r w:rsidR="00B23279"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="00B23279" w:rsidRPr="00C45F8D">
        <w:rPr>
          <w:rFonts w:ascii="Calibri" w:eastAsia="Times New Roman" w:hAnsi="Calibri" w:cs="Calibri"/>
          <w:sz w:val="24"/>
          <w:szCs w:val="24"/>
          <w:lang w:eastAsia="pl-PL"/>
        </w:rPr>
        <w:t>Education</w:t>
      </w:r>
      <w:proofErr w:type="spellEnd"/>
      <w:r w:rsidR="00B23279"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="00B23279" w:rsidRPr="00C45F8D">
        <w:rPr>
          <w:rFonts w:ascii="Calibri" w:eastAsia="Times New Roman" w:hAnsi="Calibri" w:cs="Calibri"/>
          <w:sz w:val="24"/>
          <w:szCs w:val="24"/>
          <w:lang w:eastAsia="pl-PL"/>
        </w:rPr>
        <w:t>I</w:t>
      </w:r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nstitutions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have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been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required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to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use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ECTS for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both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credit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transfer and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accumulation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within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their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degree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programmes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. The ECTS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credits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allow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foreign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students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’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periods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of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study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at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HEIs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in Poland to be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recognized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:rsidR="0020185D" w:rsidRPr="00C45F8D" w:rsidRDefault="0020185D" w:rsidP="0020185D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For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more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information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on the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adjustment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to the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Bologna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Process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and ECTS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credits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please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visit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:</w:t>
      </w:r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br/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European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Higher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Education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Area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: </w:t>
      </w:r>
      <w:hyperlink r:id="rId4" w:tgtFrame="_blank" w:tooltip="www.ehea.info" w:history="1">
        <w:r w:rsidRPr="00C45F8D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>http://www.ehea.info/</w:t>
        </w:r>
      </w:hyperlink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br/>
      </w:r>
      <w:hyperlink r:id="rId5" w:history="1">
        <w:r w:rsidRPr="00C45F8D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 xml:space="preserve">The </w:t>
        </w:r>
        <w:proofErr w:type="spellStart"/>
        <w:r w:rsidRPr="00C45F8D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>Bologna</w:t>
        </w:r>
        <w:proofErr w:type="spellEnd"/>
        <w:r w:rsidRPr="00C45F8D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 xml:space="preserve"> </w:t>
        </w:r>
        <w:proofErr w:type="spellStart"/>
        <w:r w:rsidRPr="00C45F8D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>Process</w:t>
        </w:r>
        <w:proofErr w:type="spellEnd"/>
      </w:hyperlink>
    </w:p>
    <w:p w:rsidR="0020185D" w:rsidRPr="00C45F8D" w:rsidRDefault="0020185D" w:rsidP="0020185D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C45F8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General </w:t>
      </w:r>
      <w:proofErr w:type="spellStart"/>
      <w:r w:rsidRPr="00C45F8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information</w:t>
      </w:r>
      <w:proofErr w:type="spellEnd"/>
      <w:r w:rsidRPr="00C45F8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proofErr w:type="spellStart"/>
      <w:r w:rsidRPr="00C45F8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about</w:t>
      </w:r>
      <w:proofErr w:type="spellEnd"/>
      <w:r w:rsidRPr="00C45F8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proofErr w:type="spellStart"/>
      <w:r w:rsidRPr="00C45F8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grading</w:t>
      </w:r>
      <w:proofErr w:type="spellEnd"/>
      <w:r w:rsidRPr="00C45F8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:</w:t>
      </w:r>
    </w:p>
    <w:p w:rsidR="0020185D" w:rsidRPr="00C45F8D" w:rsidRDefault="0020185D" w:rsidP="00FD5B2A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All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="00B23279" w:rsidRPr="00C45F8D">
        <w:rPr>
          <w:rFonts w:ascii="Calibri" w:eastAsia="Times New Roman" w:hAnsi="Calibri" w:cs="Calibri"/>
          <w:sz w:val="24"/>
          <w:szCs w:val="24"/>
          <w:lang w:eastAsia="pl-PL"/>
        </w:rPr>
        <w:t>HEIs</w:t>
      </w:r>
      <w:proofErr w:type="spellEnd"/>
      <w:r w:rsidR="00B23279"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higher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education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institutions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are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required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to end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their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courses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with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examinations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.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There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may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be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several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independent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examinations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or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tests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in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separate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parts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of a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subject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.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Usually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,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oral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and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written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examinations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are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held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at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the end of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each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semester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during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the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examination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session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.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Students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sit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examinations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on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each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subject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separately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. The performance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assessment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period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covers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either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one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semester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or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one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academic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year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To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successfully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complete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a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semester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(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or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a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year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), a student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must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attain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the pass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mark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(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at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least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“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satisfactory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”) for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all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assessments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and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examinations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in the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subjects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covered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by the curriculum and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obtain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performance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assessment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credits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for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all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integrated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placements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:rsidR="0020185D" w:rsidRPr="00C45F8D" w:rsidRDefault="0020185D" w:rsidP="0020185D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Grading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: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Each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HEI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identifies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its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grading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scale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in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its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Study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Rules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. The most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common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scale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comprises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the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following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marks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:</w:t>
      </w:r>
    </w:p>
    <w:p w:rsidR="0020185D" w:rsidRPr="00C45F8D" w:rsidRDefault="0020185D" w:rsidP="0020185D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C45F8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5 </w:t>
      </w:r>
      <w:proofErr w:type="spellStart"/>
      <w:r w:rsidRPr="00C45F8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very</w:t>
      </w:r>
      <w:proofErr w:type="spellEnd"/>
      <w:r w:rsidRPr="00C45F8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proofErr w:type="spellStart"/>
      <w:r w:rsidRPr="00C45F8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good</w:t>
      </w:r>
      <w:proofErr w:type="spellEnd"/>
      <w:r w:rsidRPr="00C45F8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 </w:t>
      </w:r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(bardzo dobry)</w:t>
      </w:r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C45F8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4 </w:t>
      </w:r>
      <w:proofErr w:type="spellStart"/>
      <w:r w:rsidRPr="00C45F8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good</w:t>
      </w:r>
      <w:proofErr w:type="spellEnd"/>
      <w:r w:rsidRPr="00C45F8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 </w:t>
      </w:r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(dobry)</w:t>
      </w:r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C45F8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3 </w:t>
      </w:r>
      <w:proofErr w:type="spellStart"/>
      <w:r w:rsidRPr="00C45F8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satisfactory</w:t>
      </w:r>
      <w:proofErr w:type="spellEnd"/>
      <w:r w:rsidRPr="00C45F8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 </w:t>
      </w:r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(dostateczny)</w:t>
      </w:r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C45F8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2 </w:t>
      </w:r>
      <w:proofErr w:type="spellStart"/>
      <w:r w:rsidRPr="00C45F8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unsatisfactory</w:t>
      </w:r>
      <w:proofErr w:type="spellEnd"/>
      <w:r w:rsidRPr="00C45F8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/</w:t>
      </w:r>
      <w:proofErr w:type="spellStart"/>
      <w:r w:rsidRPr="00C45F8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fail</w:t>
      </w:r>
      <w:proofErr w:type="spellEnd"/>
      <w:r w:rsidRPr="00C45F8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 </w:t>
      </w:r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(niedostateczny)</w:t>
      </w:r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br/>
      </w:r>
      <w:proofErr w:type="spellStart"/>
      <w:r w:rsidRPr="00C45F8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credit</w:t>
      </w:r>
      <w:proofErr w:type="spellEnd"/>
      <w:r w:rsidRPr="00C45F8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/pass </w:t>
      </w:r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(zaliczenie)</w:t>
      </w:r>
    </w:p>
    <w:p w:rsidR="0020185D" w:rsidRPr="00C45F8D" w:rsidRDefault="0020185D" w:rsidP="00FD5B2A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Sometimes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the plus symbol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or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decimal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is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used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to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modify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the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numerical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grades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. It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must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be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pointed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out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at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this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time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that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grades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awarded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according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to the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scale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are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not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directly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transferable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 xml:space="preserve"> to the ECTS </w:t>
      </w:r>
      <w:proofErr w:type="spellStart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credits</w:t>
      </w:r>
      <w:proofErr w:type="spellEnd"/>
      <w:r w:rsidRPr="00C45F8D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:rsidR="0020185D" w:rsidRPr="00C45F8D" w:rsidRDefault="0020185D" w:rsidP="0020185D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C45F8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lastRenderedPageBreak/>
        <w:t xml:space="preserve">Koszalin University of Technology </w:t>
      </w:r>
      <w:proofErr w:type="spellStart"/>
      <w:r w:rsidRPr="00C45F8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is</w:t>
      </w:r>
      <w:proofErr w:type="spellEnd"/>
      <w:r w:rsidRPr="00C45F8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proofErr w:type="spellStart"/>
      <w:r w:rsidRPr="00C45F8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university-type</w:t>
      </w:r>
      <w:proofErr w:type="spellEnd"/>
      <w:r w:rsidRPr="00C45F8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public </w:t>
      </w:r>
      <w:proofErr w:type="spellStart"/>
      <w:r w:rsidRPr="00C45F8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Higher</w:t>
      </w:r>
      <w:proofErr w:type="spellEnd"/>
      <w:r w:rsidRPr="00C45F8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proofErr w:type="spellStart"/>
      <w:r w:rsidRPr="00C45F8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Education</w:t>
      </w:r>
      <w:proofErr w:type="spellEnd"/>
      <w:r w:rsidRPr="00C45F8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proofErr w:type="spellStart"/>
      <w:r w:rsidRPr="00C45F8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Institution</w:t>
      </w:r>
      <w:proofErr w:type="spellEnd"/>
      <w:r w:rsidRPr="00C45F8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(HEI).</w:t>
      </w:r>
    </w:p>
    <w:p w:rsidR="0020185D" w:rsidRPr="00C45F8D" w:rsidRDefault="0020185D" w:rsidP="0020185D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C45F8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Grading</w:t>
      </w:r>
      <w:proofErr w:type="spellEnd"/>
      <w:r w:rsidRPr="00C45F8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proofErr w:type="spellStart"/>
      <w:r w:rsidRPr="00C45F8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scale</w:t>
      </w:r>
      <w:proofErr w:type="spellEnd"/>
      <w:r w:rsidRPr="00C45F8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proofErr w:type="spellStart"/>
      <w:r w:rsidRPr="00C45F8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at</w:t>
      </w:r>
      <w:proofErr w:type="spellEnd"/>
      <w:r w:rsidRPr="00C45F8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Koszalin University of Technology</w:t>
      </w:r>
    </w:p>
    <w:p w:rsidR="0020185D" w:rsidRPr="00C45F8D" w:rsidRDefault="0020185D" w:rsidP="0020185D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0"/>
        <w:gridCol w:w="2134"/>
        <w:gridCol w:w="3166"/>
      </w:tblGrid>
      <w:tr w:rsidR="0020185D" w:rsidRPr="00C45F8D" w:rsidTr="0020185D">
        <w:trPr>
          <w:tblHeader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5D" w:rsidRPr="00C45F8D" w:rsidRDefault="0020185D" w:rsidP="0020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C45F8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Local</w:t>
            </w:r>
            <w:proofErr w:type="spellEnd"/>
            <w:r w:rsidRPr="00C45F8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C45F8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grade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5D" w:rsidRPr="00C45F8D" w:rsidRDefault="0020185D" w:rsidP="0020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C45F8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ECTS </w:t>
            </w:r>
            <w:proofErr w:type="spellStart"/>
            <w:r w:rsidRPr="00C45F8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grade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5D" w:rsidRPr="00C45F8D" w:rsidRDefault="0020185D" w:rsidP="0020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C45F8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Definition</w:t>
            </w:r>
          </w:p>
        </w:tc>
      </w:tr>
      <w:tr w:rsidR="0020185D" w:rsidRPr="00C45F8D" w:rsidTr="0020185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5D" w:rsidRPr="00C45F8D" w:rsidRDefault="0020185D" w:rsidP="0020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C45F8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5D" w:rsidRPr="00C45F8D" w:rsidRDefault="0020185D" w:rsidP="0020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C45F8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5D" w:rsidRPr="00C45F8D" w:rsidRDefault="0020185D" w:rsidP="0020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proofErr w:type="spellStart"/>
            <w:r w:rsidRPr="00C45F8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very</w:t>
            </w:r>
            <w:proofErr w:type="spellEnd"/>
            <w:r w:rsidRPr="00C45F8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C45F8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good</w:t>
            </w:r>
            <w:proofErr w:type="spellEnd"/>
          </w:p>
        </w:tc>
      </w:tr>
      <w:tr w:rsidR="0020185D" w:rsidRPr="00C45F8D" w:rsidTr="0020185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5D" w:rsidRPr="00C45F8D" w:rsidRDefault="0020185D" w:rsidP="0020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C45F8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5D" w:rsidRPr="00C45F8D" w:rsidRDefault="0020185D" w:rsidP="0020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C45F8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5D" w:rsidRPr="00C45F8D" w:rsidRDefault="0020185D" w:rsidP="0020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proofErr w:type="spellStart"/>
            <w:r w:rsidRPr="00C45F8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better</w:t>
            </w:r>
            <w:proofErr w:type="spellEnd"/>
            <w:r w:rsidRPr="00C45F8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C45F8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than</w:t>
            </w:r>
            <w:proofErr w:type="spellEnd"/>
            <w:r w:rsidRPr="00C45F8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C45F8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good</w:t>
            </w:r>
            <w:proofErr w:type="spellEnd"/>
          </w:p>
        </w:tc>
      </w:tr>
      <w:tr w:rsidR="0020185D" w:rsidRPr="00C45F8D" w:rsidTr="0020185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5D" w:rsidRPr="00C45F8D" w:rsidRDefault="0020185D" w:rsidP="0020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C45F8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5D" w:rsidRPr="00C45F8D" w:rsidRDefault="0020185D" w:rsidP="0020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C45F8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5D" w:rsidRPr="00C45F8D" w:rsidRDefault="0020185D" w:rsidP="0020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proofErr w:type="spellStart"/>
            <w:r w:rsidRPr="00C45F8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good</w:t>
            </w:r>
            <w:proofErr w:type="spellEnd"/>
          </w:p>
        </w:tc>
      </w:tr>
      <w:tr w:rsidR="0020185D" w:rsidRPr="00C45F8D" w:rsidTr="0020185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5D" w:rsidRPr="00C45F8D" w:rsidRDefault="0020185D" w:rsidP="0020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C45F8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5D" w:rsidRPr="00C45F8D" w:rsidRDefault="0020185D" w:rsidP="0020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C45F8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5D" w:rsidRPr="00C45F8D" w:rsidRDefault="0020185D" w:rsidP="0020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proofErr w:type="spellStart"/>
            <w:r w:rsidRPr="00C45F8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satisfactory</w:t>
            </w:r>
            <w:proofErr w:type="spellEnd"/>
          </w:p>
        </w:tc>
      </w:tr>
      <w:tr w:rsidR="0020185D" w:rsidRPr="00C45F8D" w:rsidTr="0020185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5D" w:rsidRPr="00C45F8D" w:rsidRDefault="0020185D" w:rsidP="0020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C45F8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5D" w:rsidRPr="00C45F8D" w:rsidRDefault="0020185D" w:rsidP="0020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C45F8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5D" w:rsidRPr="00C45F8D" w:rsidRDefault="0020185D" w:rsidP="0020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proofErr w:type="spellStart"/>
            <w:r w:rsidRPr="00C45F8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sufficient</w:t>
            </w:r>
            <w:proofErr w:type="spellEnd"/>
          </w:p>
        </w:tc>
      </w:tr>
      <w:tr w:rsidR="0020185D" w:rsidRPr="00C45F8D" w:rsidTr="0020185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5D" w:rsidRPr="00C45F8D" w:rsidRDefault="0020185D" w:rsidP="0020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C45F8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5D" w:rsidRPr="00C45F8D" w:rsidRDefault="0020185D" w:rsidP="0020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C45F8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F/FX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5D" w:rsidRPr="00C45F8D" w:rsidRDefault="0020185D" w:rsidP="0020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proofErr w:type="spellStart"/>
            <w:r w:rsidRPr="00C45F8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failed</w:t>
            </w:r>
            <w:proofErr w:type="spellEnd"/>
          </w:p>
        </w:tc>
      </w:tr>
    </w:tbl>
    <w:p w:rsidR="0020185D" w:rsidRPr="00C45F8D" w:rsidRDefault="0020185D" w:rsidP="0020185D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32CBA" w:rsidRPr="00C45F8D" w:rsidRDefault="00632CBA">
      <w:pPr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sectPr w:rsidR="00632CBA" w:rsidRPr="00C45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CBA"/>
    <w:rsid w:val="0020185D"/>
    <w:rsid w:val="00223C2F"/>
    <w:rsid w:val="00342B4A"/>
    <w:rsid w:val="0049600A"/>
    <w:rsid w:val="00632CBA"/>
    <w:rsid w:val="00B23279"/>
    <w:rsid w:val="00C45F8D"/>
    <w:rsid w:val="00FD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4D508"/>
  <w15:chartTrackingRefBased/>
  <w15:docId w15:val="{6FFD73B8-0745-4C31-B624-D6058A131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01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185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0185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5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B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4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c.europa.eu/education/policies/higher-education/bologna-process-and-european-higher-education-area_en" TargetMode="External"/><Relationship Id="rId4" Type="http://schemas.openxmlformats.org/officeDocument/2006/relationships/hyperlink" Target="http://www.ehea.info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Zając</dc:creator>
  <cp:keywords/>
  <dc:description/>
  <cp:lastModifiedBy>Aleksandra Zając</cp:lastModifiedBy>
  <cp:revision>7</cp:revision>
  <cp:lastPrinted>2021-06-24T12:27:00Z</cp:lastPrinted>
  <dcterms:created xsi:type="dcterms:W3CDTF">2021-06-24T09:28:00Z</dcterms:created>
  <dcterms:modified xsi:type="dcterms:W3CDTF">2022-11-25T10:45:00Z</dcterms:modified>
</cp:coreProperties>
</file>