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Modeling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dynamic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processes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Łukasz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Bohdal,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3S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lukasz.bohdal@tu.koszalin.pl</w:t>
              </w:r>
            </w:hyperlink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3,5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lab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1882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357"/>
              <w:rPr>
                <w:sz w:val="22"/>
              </w:rPr>
            </w:pPr>
            <w:r>
              <w:rPr>
                <w:sz w:val="22"/>
              </w:rPr>
              <w:t>The scope of the course includes the following topics: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Basic concepts related to the modeling of manufacturing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processes. Mathematical and physical modeling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manufacturing processes. The concept of incremental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description. Methods of solving equations of motion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continuous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discrete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objects.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Simulation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chosen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manufacturing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software.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jc w:val="left"/>
        <w:rPr>
          <w:rFonts w:ascii="Times New Roman"/>
          <w:sz w:val="18"/>
        </w:rPr>
      </w:pPr>
    </w:p>
    <w:p>
      <w:pPr>
        <w:pStyle w:val="BodyText"/>
        <w:spacing w:line="268" w:lineRule="exact" w:before="56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lukasz.bohdal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2023-11-07T14:19:56Z</dcterms:created>
  <dcterms:modified xsi:type="dcterms:W3CDTF">2023-11-07T14:19:56Z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