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Department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Mechanical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FIELD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ERASMUS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COORDINATOR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Dr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hab.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inż.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Agnieszka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Kułakowska,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Prof.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E-MAIL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ADDRESS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hyperlink r:id="rId5">
              <w:r>
                <w:rPr>
                  <w:rFonts w:ascii="Calibri"/>
                  <w:color w:val="0000FF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COURSE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Engineering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statistic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LECTURER’S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Dr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hab.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inż.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Agnieszka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Kułakowska,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Prof.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E-MAIL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ADDRESS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  <w:r>
              <w:rPr>
                <w:rFonts w:ascii="Calibri"/>
                <w:spacing w:val="2"/>
                <w:sz w:val="22"/>
              </w:rPr>
              <w:t> </w:t>
            </w:r>
            <w:r>
              <w:rPr>
                <w:rFonts w:ascii="Calibri"/>
                <w:sz w:val="22"/>
              </w:rPr>
              <w:t>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hyperlink r:id="rId5">
              <w:r>
                <w:rPr>
                  <w:rFonts w:ascii="Calibri"/>
                  <w:color w:val="0000FF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COURSE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CODE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9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ECTS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POINTS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FOR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Calibri"/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3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ACADEMIC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(W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winter,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S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HOURS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IN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15+15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LEVEL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(1</w:t>
            </w:r>
            <w:r>
              <w:rPr>
                <w:rFonts w:ascii="Calibri"/>
                <w:position w:val="5"/>
                <w:sz w:val="12"/>
              </w:rPr>
              <w:t>st</w:t>
            </w:r>
            <w:r>
              <w:rPr>
                <w:rFonts w:ascii="Calibri"/>
                <w:spacing w:val="9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2</w:t>
            </w:r>
            <w:r>
              <w:rPr>
                <w:rFonts w:ascii="Calibri"/>
                <w:position w:val="5"/>
                <w:sz w:val="12"/>
              </w:rPr>
              <w:t>nd</w:t>
            </w:r>
            <w:r>
              <w:rPr>
                <w:rFonts w:ascii="Calibri"/>
                <w:spacing w:val="12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3</w:t>
            </w:r>
            <w:r>
              <w:rPr>
                <w:rFonts w:ascii="Calibri"/>
                <w:position w:val="5"/>
                <w:sz w:val="12"/>
              </w:rPr>
              <w:t>rd</w:t>
            </w:r>
            <w:r>
              <w:rPr>
                <w:rFonts w:ascii="Calibri"/>
                <w:spacing w:val="11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position w:val="5"/>
                <w:sz w:val="12"/>
              </w:rPr>
              <w:t>st</w:t>
            </w:r>
            <w:r>
              <w:rPr>
                <w:rFonts w:ascii="Calibri"/>
                <w:spacing w:val="10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TEACHING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(lecture, laboratory, group tutorials, seminar,</w:t>
            </w:r>
            <w:r>
              <w:rPr>
                <w:rFonts w:ascii="Calibri"/>
                <w:spacing w:val="-38"/>
                <w:sz w:val="18"/>
              </w:rPr>
              <w:t> </w:t>
            </w:r>
            <w:r>
              <w:rPr>
                <w:rFonts w:ascii="Calibri"/>
                <w:sz w:val="18"/>
              </w:rPr>
              <w:t>other-what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Lecture,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practice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LANGUAGE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ASSESSMENT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METOD:</w:t>
            </w:r>
          </w:p>
          <w:p>
            <w:pPr>
              <w:pStyle w:val="TableParagraph"/>
              <w:rPr>
                <w:rFonts w:ascii="Calibri"/>
                <w:sz w:val="18"/>
              </w:rPr>
            </w:pPr>
            <w:r>
              <w:rPr>
                <w:rFonts w:ascii="Calibri"/>
                <w:sz w:val="22"/>
              </w:rPr>
              <w:t>(</w:t>
            </w:r>
            <w:r>
              <w:rPr>
                <w:rFonts w:ascii="Calibri"/>
                <w:sz w:val="18"/>
              </w:rPr>
              <w:t>written</w:t>
            </w:r>
            <w:r>
              <w:rPr>
                <w:rFonts w:ascii="Calibri"/>
                <w:spacing w:val="-3"/>
                <w:sz w:val="18"/>
              </w:rPr>
              <w:t> </w:t>
            </w:r>
            <w:r>
              <w:rPr>
                <w:rFonts w:ascii="Calibri"/>
                <w:sz w:val="18"/>
              </w:rPr>
              <w:t>exam,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oral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exam,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class</w:t>
            </w:r>
            <w:r>
              <w:rPr>
                <w:rFonts w:ascii="Calibri"/>
                <w:spacing w:val="-3"/>
                <w:sz w:val="18"/>
              </w:rPr>
              <w:t> </w:t>
            </w:r>
            <w:r>
              <w:rPr>
                <w:rFonts w:ascii="Calibri"/>
                <w:sz w:val="18"/>
              </w:rPr>
              <w:t>test,</w:t>
            </w:r>
            <w:r>
              <w:rPr>
                <w:rFonts w:ascii="Calibri"/>
                <w:spacing w:val="-3"/>
                <w:sz w:val="18"/>
              </w:rPr>
              <w:t> </w:t>
            </w:r>
            <w:r>
              <w:rPr>
                <w:rFonts w:ascii="Calibri"/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reports, project work, presentation,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continuous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assessment,</w:t>
            </w:r>
            <w:r>
              <w:rPr>
                <w:rFonts w:ascii="Calibri" w:hAnsi="Calibri"/>
                <w:spacing w:val="-4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other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-5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what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Exam</w:t>
            </w:r>
          </w:p>
        </w:tc>
      </w:tr>
      <w:tr>
        <w:trPr>
          <w:trHeight w:val="660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COURSE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ind w:right="100"/>
              <w:rPr>
                <w:sz w:val="22"/>
              </w:rPr>
            </w:pPr>
            <w:r>
              <w:rPr>
                <w:color w:val="212121"/>
                <w:sz w:val="22"/>
              </w:rPr>
              <w:t>Grouping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statistical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and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graphical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representation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56"/>
                <w:sz w:val="22"/>
              </w:rPr>
              <w:t> </w:t>
            </w:r>
            <w:r>
              <w:rPr>
                <w:color w:val="212121"/>
                <w:sz w:val="22"/>
              </w:rPr>
              <w:t>a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random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variable.</w:t>
            </w:r>
          </w:p>
          <w:p>
            <w:pPr>
              <w:pStyle w:val="TableParagraph"/>
              <w:spacing w:line="242" w:lineRule="auto"/>
              <w:ind w:right="3166"/>
              <w:rPr>
                <w:sz w:val="22"/>
              </w:rPr>
            </w:pPr>
            <w:r>
              <w:rPr>
                <w:color w:val="212121"/>
                <w:sz w:val="22"/>
              </w:rPr>
              <w:t>Descriptive</w:t>
            </w:r>
            <w:r>
              <w:rPr>
                <w:color w:val="212121"/>
                <w:spacing w:val="55"/>
                <w:sz w:val="22"/>
              </w:rPr>
              <w:t> </w:t>
            </w:r>
            <w:r>
              <w:rPr>
                <w:color w:val="212121"/>
                <w:sz w:val="22"/>
              </w:rPr>
              <w:t>statistics.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The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calculus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moments.</w:t>
            </w:r>
          </w:p>
          <w:p>
            <w:pPr>
              <w:pStyle w:val="TableParagraph"/>
              <w:tabs>
                <w:tab w:pos="1329" w:val="left" w:leader="none"/>
                <w:tab w:pos="2691" w:val="left" w:leader="none"/>
                <w:tab w:pos="3864" w:val="left" w:leader="none"/>
                <w:tab w:pos="4472" w:val="left" w:leader="none"/>
              </w:tabs>
              <w:ind w:right="100"/>
              <w:rPr>
                <w:sz w:val="22"/>
              </w:rPr>
            </w:pPr>
            <w:r>
              <w:rPr>
                <w:color w:val="212121"/>
                <w:sz w:val="22"/>
              </w:rPr>
              <w:t>Frequency</w:t>
              <w:tab/>
              <w:t>distribution,</w:t>
              <w:tab/>
              <w:t>histogram</w:t>
              <w:tab/>
              <w:t>and</w:t>
              <w:tab/>
            </w:r>
            <w:r>
              <w:rPr>
                <w:color w:val="212121"/>
                <w:spacing w:val="-1"/>
                <w:sz w:val="22"/>
              </w:rPr>
              <w:t>cumulative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distribution.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color w:val="212121"/>
                <w:sz w:val="22"/>
              </w:rPr>
              <w:t>Losw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variable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distributions.</w:t>
            </w:r>
          </w:p>
          <w:p>
            <w:pPr>
              <w:pStyle w:val="TableParagraph"/>
              <w:ind w:right="2016"/>
              <w:rPr>
                <w:sz w:val="22"/>
              </w:rPr>
            </w:pPr>
            <w:r>
              <w:rPr>
                <w:color w:val="212121"/>
                <w:sz w:val="22"/>
              </w:rPr>
              <w:t>Parameter estimation random variable.</w:t>
            </w:r>
            <w:r>
              <w:rPr>
                <w:color w:val="212121"/>
                <w:spacing w:val="-53"/>
                <w:sz w:val="22"/>
              </w:rPr>
              <w:t> </w:t>
            </w:r>
            <w:r>
              <w:rPr>
                <w:color w:val="212121"/>
                <w:sz w:val="22"/>
              </w:rPr>
              <w:t>Verification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statistical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hypotheses.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color w:val="212121"/>
                <w:sz w:val="22"/>
              </w:rPr>
              <w:t>Correlation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and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linear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regression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between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the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dependent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variable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and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independent.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color w:val="212121"/>
                <w:sz w:val="22"/>
              </w:rPr>
              <w:t>Determination of confidence intervals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for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linear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regression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function.</w:t>
            </w:r>
          </w:p>
          <w:p>
            <w:pPr>
              <w:pStyle w:val="TableParagraph"/>
              <w:ind w:right="2016"/>
              <w:rPr>
                <w:sz w:val="22"/>
              </w:rPr>
            </w:pPr>
            <w:r>
              <w:rPr>
                <w:color w:val="212121"/>
                <w:sz w:val="22"/>
              </w:rPr>
              <w:t>Calculations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in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Excel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program.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Calculations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in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the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program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Statistica.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Measures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volatility and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location.</w:t>
            </w:r>
          </w:p>
          <w:p>
            <w:pPr>
              <w:pStyle w:val="TableParagraph"/>
              <w:spacing w:line="253" w:lineRule="exact"/>
              <w:rPr>
                <w:sz w:val="22"/>
              </w:rPr>
            </w:pPr>
            <w:r>
              <w:rPr>
                <w:color w:val="212121"/>
                <w:sz w:val="22"/>
              </w:rPr>
              <w:t>The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ranks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statistical charts.</w:t>
            </w:r>
          </w:p>
          <w:p>
            <w:pPr>
              <w:pStyle w:val="TableParagraph"/>
              <w:tabs>
                <w:tab w:pos="1321" w:val="left" w:leader="none"/>
                <w:tab w:pos="2280" w:val="left" w:leader="none"/>
                <w:tab w:pos="2667" w:val="left" w:leader="none"/>
                <w:tab w:pos="2967" w:val="left" w:leader="none"/>
                <w:tab w:pos="4804" w:val="left" w:leader="none"/>
              </w:tabs>
              <w:ind w:right="100"/>
              <w:rPr>
                <w:sz w:val="22"/>
              </w:rPr>
            </w:pPr>
            <w:r>
              <w:rPr>
                <w:color w:val="212121"/>
                <w:sz w:val="22"/>
              </w:rPr>
              <w:t>Descriptive</w:t>
              <w:tab/>
              <w:t>statistics</w:t>
              <w:tab/>
              <w:t>of</w:t>
              <w:tab/>
              <w:t>a</w:t>
              <w:tab/>
              <w:t>random  </w:t>
            </w:r>
            <w:r>
              <w:rPr>
                <w:color w:val="212121"/>
                <w:spacing w:val="26"/>
                <w:sz w:val="22"/>
              </w:rPr>
              <w:t> </w:t>
            </w:r>
            <w:r>
              <w:rPr>
                <w:color w:val="212121"/>
                <w:sz w:val="22"/>
              </w:rPr>
              <w:t>variable,</w:t>
              <w:tab/>
            </w:r>
            <w:r>
              <w:rPr>
                <w:color w:val="212121"/>
                <w:spacing w:val="-1"/>
                <w:sz w:val="22"/>
              </w:rPr>
              <w:t>invoice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moments.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color w:val="212121"/>
                <w:sz w:val="22"/>
              </w:rPr>
              <w:t>Analysis</w:t>
            </w:r>
            <w:r>
              <w:rPr>
                <w:color w:val="212121"/>
                <w:spacing w:val="43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46"/>
                <w:sz w:val="22"/>
              </w:rPr>
              <w:t> </w:t>
            </w:r>
            <w:r>
              <w:rPr>
                <w:color w:val="212121"/>
                <w:sz w:val="22"/>
              </w:rPr>
              <w:t>statistical</w:t>
            </w:r>
            <w:r>
              <w:rPr>
                <w:color w:val="212121"/>
                <w:spacing w:val="44"/>
                <w:sz w:val="22"/>
              </w:rPr>
              <w:t> </w:t>
            </w:r>
            <w:r>
              <w:rPr>
                <w:color w:val="212121"/>
                <w:sz w:val="22"/>
              </w:rPr>
              <w:t>group,</w:t>
            </w:r>
            <w:r>
              <w:rPr>
                <w:color w:val="212121"/>
                <w:spacing w:val="45"/>
                <w:sz w:val="22"/>
              </w:rPr>
              <w:t> </w:t>
            </w:r>
            <w:r>
              <w:rPr>
                <w:color w:val="212121"/>
                <w:sz w:val="22"/>
              </w:rPr>
              <w:t>checking</w:t>
            </w:r>
            <w:r>
              <w:rPr>
                <w:color w:val="212121"/>
                <w:spacing w:val="49"/>
                <w:sz w:val="22"/>
              </w:rPr>
              <w:t> </w:t>
            </w:r>
            <w:r>
              <w:rPr>
                <w:color w:val="212121"/>
                <w:sz w:val="22"/>
              </w:rPr>
              <w:t>compliance</w:t>
            </w:r>
            <w:r>
              <w:rPr>
                <w:color w:val="212121"/>
                <w:spacing w:val="44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45"/>
                <w:sz w:val="22"/>
              </w:rPr>
              <w:t> </w:t>
            </w:r>
            <w:r>
              <w:rPr>
                <w:color w:val="212121"/>
                <w:sz w:val="22"/>
              </w:rPr>
              <w:t>the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distribution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of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the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normal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distribution.</w:t>
            </w:r>
          </w:p>
          <w:p>
            <w:pPr>
              <w:pStyle w:val="TableParagraph"/>
              <w:ind w:right="2291"/>
              <w:rPr>
                <w:sz w:val="22"/>
              </w:rPr>
            </w:pPr>
            <w:r>
              <w:rPr>
                <w:color w:val="212121"/>
                <w:sz w:val="22"/>
              </w:rPr>
              <w:t>Point and interval estimation.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Parametric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and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nonparametric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tests.</w:t>
            </w:r>
          </w:p>
          <w:p>
            <w:pPr>
              <w:pStyle w:val="TableParagraph"/>
              <w:tabs>
                <w:tab w:pos="907" w:val="left" w:leader="none"/>
                <w:tab w:pos="2039" w:val="left" w:leader="none"/>
                <w:tab w:pos="2588" w:val="left" w:leader="none"/>
                <w:tab w:pos="3819" w:val="left" w:leader="none"/>
                <w:tab w:pos="5269" w:val="left" w:leader="none"/>
              </w:tabs>
              <w:ind w:right="94"/>
              <w:rPr>
                <w:sz w:val="22"/>
              </w:rPr>
            </w:pPr>
            <w:r>
              <w:rPr>
                <w:color w:val="212121"/>
                <w:sz w:val="22"/>
              </w:rPr>
              <w:t>Linear</w:t>
              <w:tab/>
              <w:t>regression</w:t>
              <w:tab/>
              <w:t>and</w:t>
              <w:tab/>
              <w:t>correlation,</w:t>
              <w:tab/>
              <w:t>determination</w:t>
              <w:tab/>
            </w:r>
            <w:r>
              <w:rPr>
                <w:color w:val="212121"/>
                <w:spacing w:val="-1"/>
                <w:sz w:val="22"/>
              </w:rPr>
              <w:t>of</w:t>
            </w:r>
            <w:r>
              <w:rPr>
                <w:color w:val="212121"/>
                <w:spacing w:val="-52"/>
                <w:sz w:val="22"/>
              </w:rPr>
              <w:t> </w:t>
            </w:r>
            <w:r>
              <w:rPr>
                <w:color w:val="212121"/>
                <w:sz w:val="22"/>
              </w:rPr>
              <w:t>confidence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intervals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for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linear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regression.</w:t>
            </w:r>
          </w:p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color w:val="212121"/>
                <w:sz w:val="22"/>
              </w:rPr>
              <w:t>Analysis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in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program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Excell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and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Statistica</w:t>
            </w:r>
            <w:r>
              <w:rPr>
                <w:color w:val="212121"/>
                <w:sz w:val="24"/>
              </w:rPr>
              <w:t>.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4" w:lineRule="exact" w:before="2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ADDITIONAL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spacing w:line="240" w:lineRule="auto" w:before="8"/>
        <w:rPr>
          <w:sz w:val="18"/>
        </w:rPr>
      </w:pPr>
    </w:p>
    <w:p>
      <w:pPr>
        <w:pStyle w:val="BodyText"/>
        <w:spacing w:before="55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4"/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2023-11-07T14:17:06Z</dcterms:created>
  <dcterms:modified xsi:type="dcterms:W3CDTF">2023-11-07T14:17:06Z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