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E</w:t>
            </w:r>
            <w:r>
              <w:rPr>
                <w:lang w:val="en-US"/>
              </w:rPr>
              <w:t>uropean</w:t>
            </w:r>
            <w:r>
              <w:rPr>
                <w:lang w:val="en-US"/>
              </w:rPr>
              <w:t xml:space="preserve">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"/>
              </w:rPr>
            </w:pPr>
            <w:bookmarkStart w:id="0" w:name="__DdeLink__195_1334514391"/>
            <w:r>
              <w:rPr>
                <w:lang w:val="en"/>
              </w:rPr>
              <w:t>The rights of the European Union citizen in practice</w:t>
            </w:r>
            <w:bookmarkStart w:id="1" w:name="_GoBack"/>
            <w:bookmarkEnd w:id="0"/>
            <w:bookmarkEnd w:id="1"/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Marek Pogonowski, Prof.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marek.pogonowski@tu.koszalin.pl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  <w:t>2021/2022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1</w:t>
            </w:r>
            <w:r>
              <w:rPr>
                <w:vertAlign w:val="superscript"/>
              </w:rPr>
              <w:t>st</w:t>
            </w:r>
            <w:r>
              <w:rPr/>
              <w:t xml:space="preserve"> cycle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lecture, group tutorials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class test</w:t>
            </w:r>
          </w:p>
        </w:tc>
      </w:tr>
      <w:tr>
        <w:trPr>
          <w:trHeight w:val="1213" w:hRule="atLeast"/>
        </w:trPr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 xml:space="preserve">The course covers the following topics: 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"/>
              </w:rPr>
              <w:t>the essence of European Union citizenship and principles of operation the institution for the benefit of citizens, civic rights and obligations.</w:t>
            </w:r>
            <w:r>
              <w:rPr>
                <w:lang w:val="en-US"/>
              </w:rPr>
              <w:t xml:space="preserve"> Dangers arising from citizenship will be discussed. </w:t>
            </w:r>
            <w:r>
              <w:rPr>
                <w:lang w:val="en"/>
              </w:rPr>
              <w:t>Also, the course of the proceedings before the Court of Justice of the European Union and the European Court of Human Rights will be discussed.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ADDITIONAL INFORMATION:</w:t>
            </w:r>
          </w:p>
        </w:tc>
        <w:tc>
          <w:tcPr>
            <w:tcW w:w="555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jc w:val="right"/>
        <w:rPr/>
      </w:pPr>
      <w:r>
        <w:rPr/>
        <w:t xml:space="preserve">        </w:t>
      </w:r>
      <w:r>
        <w:rPr/>
        <w:t>dr hab. Marek Pogonowski, 11.02.2021</w:t>
      </w:r>
    </w:p>
    <w:p>
      <w:pPr>
        <w:pStyle w:val="NoSpacing"/>
        <w:jc w:val="righ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5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basedOn w:val="DefaultParagraphFont"/>
    <w:uiPriority w:val="99"/>
    <w:unhideWhenUsed/>
    <w:rsid w:val="00e47ff1"/>
    <w:rPr>
      <w:color w:val="0000FF" w:themeColor="hyperlink"/>
      <w:u w:val="single"/>
    </w:rPr>
  </w:style>
  <w:style w:type="character" w:styleId="ListLabel1">
    <w:name w:val="ListLabel 1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0a2233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ListParagraph">
    <w:name w:val="List Paragraph"/>
    <w:basedOn w:val="Normal"/>
    <w:uiPriority w:val="34"/>
    <w:qFormat/>
    <w:rsid w:val="00604e47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LibreOffice/6.0.6.2$Windows_x86 LibreOffice_project/0c292870b25a325b5ed35f6b45599d2ea4458e77</Application>
  <Pages>1</Pages>
  <Words>184</Words>
  <Characters>1136</Characters>
  <CharactersWithSpaces>1291</CharactersWithSpaces>
  <Paragraphs>41</Paragraphs>
  <Company>ZUS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2021-02-11T06:06:00Z</dcterms:created>
  <dc:creator>Agnieszka</dc:creator>
  <dc:description/>
  <dc:language>pl-PL</dc:language>
  <cp:lastModifiedBy/>
  <cp:lastPrinted>2021-02-11T06:06:00Z</cp:lastPrinted>
  <dcterms:modified xsi:type="dcterms:W3CDTF">2021-02-15T15:53:07Z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ZUS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