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90"/>
        <w:gridCol w:w="5472"/>
      </w:tblGrid>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rPr>
              <w:t>FACULTY:</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Faculty of Humanities</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rPr>
            </w:pPr>
            <w:r>
              <w:rPr>
                <w:rFonts w:ascii="Times New Roman" w:hAnsi="Times New Roman" w:cs="Times New Roman"/>
              </w:rPr>
              <w:t>FIELD OF STUDY:</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rPr>
              <w:t>Pedagogical Studies</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ERASMUS COORDINATOR OF THE FACULTY:</w:t>
            </w:r>
          </w:p>
        </w:tc>
        <w:tc>
          <w:tcPr>
            <w:tcW w:w="5560" w:type="dxa"/>
            <w:vAlign w:val="center"/>
          </w:tcPr>
          <w:p w:rsidR="002C18DD" w:rsidRDefault="00950B42">
            <w:pPr>
              <w:spacing w:after="0" w:line="240" w:lineRule="auto"/>
              <w:rPr>
                <w:rFonts w:ascii="Times New Roman" w:hAnsi="Times New Roman" w:cs="Times New Roman"/>
              </w:rPr>
            </w:pPr>
            <w:r>
              <w:rPr>
                <w:rFonts w:ascii="Times New Roman" w:hAnsi="Times New Roman" w:cs="Times New Roman"/>
              </w:rPr>
              <w:t>Ł</w:t>
            </w:r>
            <w:r>
              <w:rPr>
                <w:rFonts w:ascii="Times New Roman" w:hAnsi="Times New Roman" w:cs="Times New Roman"/>
              </w:rPr>
              <w:t>ukasz Neubauer, PhD</w:t>
            </w:r>
          </w:p>
        </w:tc>
      </w:tr>
      <w:tr w:rsidR="002C18DD" w:rsidRPr="00401978">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E-MAIL ADDRESS OF THE COORDINATOR:</w:t>
            </w:r>
          </w:p>
        </w:tc>
        <w:tc>
          <w:tcPr>
            <w:tcW w:w="5560" w:type="dxa"/>
            <w:vAlign w:val="center"/>
          </w:tcPr>
          <w:p w:rsidR="002C18DD" w:rsidRDefault="00401978" w:rsidP="00401978">
            <w:pPr>
              <w:spacing w:after="0" w:line="240" w:lineRule="auto"/>
              <w:rPr>
                <w:rFonts w:ascii="Times New Roman" w:hAnsi="Times New Roman" w:cs="Times New Roman"/>
                <w:lang w:val="en-US"/>
              </w:rPr>
            </w:pPr>
            <w:hyperlink r:id="rId7" w:history="1">
              <w:r>
                <w:rPr>
                  <w:rStyle w:val="Hipercze"/>
                  <w:rFonts w:ascii="Times New Roman" w:hAnsi="Times New Roman" w:cs="Times New Roman"/>
                  <w:lang w:val="en-US"/>
                </w:rPr>
                <w:t>lukasz.neubauer@tu.koszalin.pl</w:t>
              </w:r>
            </w:hyperlink>
            <w:bookmarkStart w:id="0" w:name="_GoBack"/>
            <w:bookmarkEnd w:id="0"/>
            <w:r>
              <w:rPr>
                <w:rFonts w:ascii="Times New Roman" w:hAnsi="Times New Roman" w:cs="Times New Roman"/>
                <w:lang w:val="en-US"/>
              </w:rPr>
              <w:t xml:space="preserve"> </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COURSE TITLE:</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Vocal emission</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LECTURER’S NAME:</w:t>
            </w:r>
          </w:p>
        </w:tc>
        <w:tc>
          <w:tcPr>
            <w:tcW w:w="5560" w:type="dxa"/>
            <w:vAlign w:val="center"/>
          </w:tcPr>
          <w:p w:rsidR="002C18DD" w:rsidRDefault="00950B42">
            <w:pPr>
              <w:spacing w:after="0" w:line="240" w:lineRule="auto"/>
              <w:rPr>
                <w:rFonts w:ascii="Times New Roman" w:eastAsia="Calibri" w:hAnsi="Times New Roman" w:cs="Times New Roman"/>
                <w:lang w:val="en-US"/>
              </w:rPr>
            </w:pPr>
            <w:r>
              <w:rPr>
                <w:rFonts w:ascii="Times New Roman" w:eastAsia="Calibri" w:hAnsi="Times New Roman" w:cs="Times New Roman"/>
                <w:lang w:val="en-US"/>
              </w:rPr>
              <w:t>Dominika Mielniczuk-Bączek</w:t>
            </w:r>
            <w:r>
              <w:rPr>
                <w:rFonts w:ascii="Times New Roman" w:hAnsi="Times New Roman" w:cs="Times New Roman"/>
              </w:rPr>
              <w:t>, MA</w:t>
            </w:r>
          </w:p>
        </w:tc>
      </w:tr>
      <w:tr w:rsidR="002C18DD" w:rsidRPr="00401978">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E-MAIL ADDRESS OF THE LECTURER:</w:t>
            </w:r>
          </w:p>
        </w:tc>
        <w:tc>
          <w:tcPr>
            <w:tcW w:w="5560" w:type="dxa"/>
            <w:vAlign w:val="center"/>
          </w:tcPr>
          <w:p w:rsidR="002C18DD" w:rsidRDefault="00401978">
            <w:pPr>
              <w:spacing w:after="0" w:line="240" w:lineRule="auto"/>
              <w:rPr>
                <w:rFonts w:ascii="Times New Roman" w:eastAsia="Calibri" w:hAnsi="Times New Roman" w:cs="Times New Roman"/>
                <w:lang w:val="en-US"/>
              </w:rPr>
            </w:pPr>
            <w:hyperlink r:id="rId8" w:history="1">
              <w:r w:rsidRPr="00626084">
                <w:rPr>
                  <w:rStyle w:val="Hipercze"/>
                  <w:rFonts w:ascii="Times New Roman" w:eastAsia="Calibri" w:hAnsi="Times New Roman" w:cs="Times New Roman"/>
                  <w:lang w:val="en-US"/>
                </w:rPr>
                <w:t>dominika.mielniczuk-baczek@tu.koszalin.pl</w:t>
              </w:r>
            </w:hyperlink>
            <w:r>
              <w:rPr>
                <w:rFonts w:ascii="Times New Roman" w:eastAsia="Calibri" w:hAnsi="Times New Roman" w:cs="Times New Roman"/>
                <w:lang w:val="en-US"/>
              </w:rPr>
              <w:t xml:space="preserve"> </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ECTS POINTS FOR THE COURSE:</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3</w:t>
            </w:r>
            <w:r>
              <w:rPr>
                <w:rFonts w:ascii="Times New Roman" w:hAnsi="Times New Roman" w:cs="Times New Roman"/>
                <w:color w:val="444444"/>
                <w:sz w:val="16"/>
                <w:szCs w:val="16"/>
                <w:shd w:val="clear" w:color="auto" w:fill="D8D8D8"/>
              </w:rPr>
              <w:t xml:space="preserve"> </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COURSE CODE (USOS):</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0921&gt;1700-EG</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ACADEMIC YEAR:</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2022/2023</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SEMESTER:</w:t>
            </w:r>
          </w:p>
          <w:p w:rsidR="002C18DD" w:rsidRDefault="00950B42">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(W – winter, S – summer)</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W</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HOURS IN SEMESTER:</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30</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LEVEL OF THE COURSE:</w:t>
            </w:r>
          </w:p>
          <w:p w:rsidR="002C18DD" w:rsidRDefault="00950B42">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(1</w:t>
            </w:r>
            <w:r>
              <w:rPr>
                <w:rFonts w:ascii="Times New Roman" w:hAnsi="Times New Roman" w:cs="Times New Roman"/>
                <w:sz w:val="18"/>
                <w:szCs w:val="18"/>
                <w:vertAlign w:val="superscript"/>
                <w:lang w:val="en-US"/>
              </w:rPr>
              <w:t>st</w:t>
            </w:r>
            <w:r>
              <w:rPr>
                <w:rFonts w:ascii="Times New Roman" w:hAnsi="Times New Roman" w:cs="Times New Roman"/>
                <w:sz w:val="18"/>
                <w:szCs w:val="18"/>
                <w:lang w:val="en-US"/>
              </w:rPr>
              <w:t xml:space="preserve"> cycle, 2</w:t>
            </w:r>
            <w:r>
              <w:rPr>
                <w:rFonts w:ascii="Times New Roman" w:hAnsi="Times New Roman" w:cs="Times New Roman"/>
                <w:sz w:val="18"/>
                <w:szCs w:val="18"/>
                <w:vertAlign w:val="superscript"/>
                <w:lang w:val="en-US"/>
              </w:rPr>
              <w:t>nd</w:t>
            </w:r>
            <w:r>
              <w:rPr>
                <w:rFonts w:ascii="Times New Roman" w:hAnsi="Times New Roman" w:cs="Times New Roman"/>
                <w:sz w:val="18"/>
                <w:szCs w:val="18"/>
                <w:lang w:val="en-US"/>
              </w:rPr>
              <w:t xml:space="preserve"> cycle, 3</w:t>
            </w:r>
            <w:r>
              <w:rPr>
                <w:rFonts w:ascii="Times New Roman" w:hAnsi="Times New Roman" w:cs="Times New Roman"/>
                <w:sz w:val="18"/>
                <w:szCs w:val="18"/>
                <w:vertAlign w:val="superscript"/>
                <w:lang w:val="en-US"/>
              </w:rPr>
              <w:t>rd</w:t>
            </w:r>
            <w:r>
              <w:rPr>
                <w:rFonts w:ascii="Times New Roman" w:hAnsi="Times New Roman" w:cs="Times New Roman"/>
                <w:sz w:val="18"/>
                <w:szCs w:val="18"/>
                <w:lang w:val="en-US"/>
              </w:rPr>
              <w:t xml:space="preserve"> cycle)</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vertAlign w:val="superscript"/>
                <w:lang w:val="en-US"/>
              </w:rPr>
              <w:t>st</w:t>
            </w:r>
            <w:r>
              <w:rPr>
                <w:rFonts w:ascii="Times New Roman" w:hAnsi="Times New Roman" w:cs="Times New Roman"/>
                <w:lang w:val="en-US"/>
              </w:rPr>
              <w:t xml:space="preserve"> cycle</w:t>
            </w:r>
          </w:p>
        </w:tc>
      </w:tr>
      <w:tr w:rsidR="002C18DD" w:rsidRPr="00401978">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TEACHING METHOD:</w:t>
            </w:r>
          </w:p>
          <w:p w:rsidR="002C18DD" w:rsidRDefault="00950B42">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(lecture, laboratory, group tutorials, seminar, other-what type?)</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practical exercises, individual and group work</w:t>
            </w: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LANGUAGE</w:t>
            </w:r>
            <w:r>
              <w:rPr>
                <w:rFonts w:ascii="Times New Roman" w:hAnsi="Times New Roman" w:cs="Times New Roman"/>
                <w:lang w:val="en-US"/>
              </w:rPr>
              <w:t xml:space="preserve"> OF INSTRUCTION:</w:t>
            </w:r>
          </w:p>
        </w:tc>
        <w:tc>
          <w:tcPr>
            <w:tcW w:w="5560" w:type="dxa"/>
            <w:vAlign w:val="center"/>
          </w:tcPr>
          <w:p w:rsidR="002C18DD" w:rsidRDefault="00950B42">
            <w:pPr>
              <w:spacing w:after="0" w:line="240" w:lineRule="auto"/>
              <w:rPr>
                <w:rFonts w:ascii="Times New Roman" w:hAnsi="Times New Roman" w:cs="Times New Roman"/>
                <w:b/>
                <w:lang w:val="en-US"/>
              </w:rPr>
            </w:pPr>
            <w:r>
              <w:rPr>
                <w:rFonts w:ascii="Times New Roman" w:hAnsi="Times New Roman" w:cs="Times New Roman"/>
                <w:b/>
                <w:lang w:val="en-US"/>
              </w:rPr>
              <w:t>English*</w:t>
            </w:r>
          </w:p>
        </w:tc>
      </w:tr>
      <w:tr w:rsidR="002C18DD" w:rsidRPr="00401978">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ASSESSMENT METHOD:</w:t>
            </w:r>
          </w:p>
          <w:p w:rsidR="002C18DD" w:rsidRDefault="00950B42">
            <w:pPr>
              <w:spacing w:after="0" w:line="240" w:lineRule="auto"/>
              <w:rPr>
                <w:rFonts w:ascii="Times New Roman" w:hAnsi="Times New Roman" w:cs="Times New Roman"/>
                <w:sz w:val="18"/>
                <w:szCs w:val="18"/>
                <w:lang w:val="en-US"/>
              </w:rPr>
            </w:pPr>
            <w:r>
              <w:rPr>
                <w:rFonts w:ascii="Times New Roman" w:hAnsi="Times New Roman" w:cs="Times New Roman"/>
                <w:lang w:val="en-US"/>
              </w:rPr>
              <w:t>(</w:t>
            </w:r>
            <w:r>
              <w:rPr>
                <w:rFonts w:ascii="Times New Roman" w:hAnsi="Times New Roman" w:cs="Times New Roman"/>
                <w:sz w:val="18"/>
                <w:szCs w:val="18"/>
                <w:lang w:val="en-US"/>
              </w:rPr>
              <w:t>written exam, oral exam, class test, written reports, project work, presentation, continuous assessment, other – what type?)</w:t>
            </w:r>
          </w:p>
        </w:tc>
        <w:tc>
          <w:tcPr>
            <w:tcW w:w="5560" w:type="dxa"/>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 xml:space="preserve">Preparation for classes, active participation in classes, continuous assessment, </w:t>
            </w:r>
            <w:r>
              <w:rPr>
                <w:rFonts w:ascii="Times New Roman" w:hAnsi="Times New Roman" w:cs="Times New Roman"/>
                <w:lang w:val="en-US"/>
              </w:rPr>
              <w:t>evaluation of practical exercises (breathing, phonation, articulation, diction)</w:t>
            </w:r>
          </w:p>
        </w:tc>
      </w:tr>
      <w:tr w:rsidR="002C18DD" w:rsidRPr="00401978">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t>COURSE CONTENT:</w:t>
            </w:r>
          </w:p>
        </w:tc>
        <w:tc>
          <w:tcPr>
            <w:tcW w:w="5560" w:type="dxa"/>
            <w:vAlign w:val="center"/>
          </w:tcPr>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Introduction to voice emission; Sound as an acoustic phenomenon, characteristics of sound;</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The structure and functioning of the vocal organ:</w:t>
            </w:r>
          </w:p>
          <w:p w:rsidR="002C18DD" w:rsidRDefault="00950B42">
            <w:pPr>
              <w:pStyle w:val="Akapitzlist"/>
              <w:spacing w:after="0" w:line="240" w:lineRule="auto"/>
              <w:ind w:left="317"/>
              <w:contextualSpacing w:val="0"/>
              <w:rPr>
                <w:rFonts w:ascii="Times New Roman" w:hAnsi="Times New Roman" w:cs="Times New Roman"/>
                <w:lang w:val="en-US"/>
              </w:rPr>
            </w:pPr>
            <w:r>
              <w:rPr>
                <w:rFonts w:ascii="Times New Roman" w:hAnsi="Times New Roman" w:cs="Times New Roman"/>
                <w:lang w:val="en-US"/>
              </w:rPr>
              <w:t>- structure and fu</w:t>
            </w:r>
            <w:r>
              <w:rPr>
                <w:rFonts w:ascii="Times New Roman" w:hAnsi="Times New Roman" w:cs="Times New Roman"/>
                <w:lang w:val="en-US"/>
              </w:rPr>
              <w:t>nctioning of the respiratory system (mechanics of breathing, types of breathing, preparation of the body for voice work, diaphragm work, respiratory support, rational the construction and functioning of the phonatory apparatus;)</w:t>
            </w:r>
          </w:p>
          <w:p w:rsidR="002C18DD" w:rsidRDefault="00950B42">
            <w:pPr>
              <w:pStyle w:val="Akapitzlist"/>
              <w:spacing w:after="0" w:line="240" w:lineRule="auto"/>
              <w:ind w:left="317"/>
              <w:contextualSpacing w:val="0"/>
              <w:rPr>
                <w:rFonts w:ascii="Times New Roman" w:hAnsi="Times New Roman" w:cs="Times New Roman"/>
                <w:lang w:val="en-US"/>
              </w:rPr>
            </w:pPr>
            <w:r>
              <w:rPr>
                <w:rFonts w:ascii="Times New Roman" w:hAnsi="Times New Roman" w:cs="Times New Roman"/>
                <w:lang w:val="en-US"/>
              </w:rPr>
              <w:t>- construction and function</w:t>
            </w:r>
            <w:r>
              <w:rPr>
                <w:rFonts w:ascii="Times New Roman" w:hAnsi="Times New Roman" w:cs="Times New Roman"/>
                <w:lang w:val="en-US"/>
              </w:rPr>
              <w:t>ing of the phonation apparatus;</w:t>
            </w:r>
          </w:p>
          <w:p w:rsidR="002C18DD" w:rsidRDefault="00950B42">
            <w:pPr>
              <w:pStyle w:val="Akapitzlist"/>
              <w:spacing w:after="0" w:line="240" w:lineRule="auto"/>
              <w:ind w:left="317"/>
              <w:contextualSpacing w:val="0"/>
              <w:rPr>
                <w:rFonts w:ascii="Times New Roman" w:hAnsi="Times New Roman" w:cs="Times New Roman"/>
                <w:lang w:val="en-US"/>
              </w:rPr>
            </w:pPr>
            <w:r>
              <w:rPr>
                <w:rFonts w:ascii="Times New Roman" w:hAnsi="Times New Roman" w:cs="Times New Roman"/>
                <w:lang w:val="en-US"/>
              </w:rPr>
              <w:t>- construction and functioning of the resonance-articulation apparatus;</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Methods of work on the voice - exercises improving the respiratory system, relaxation exercises and techniques (Schultz's Autogenic Training, Jacobson's</w:t>
            </w:r>
            <w:r>
              <w:rPr>
                <w:rFonts w:ascii="Times New Roman" w:hAnsi="Times New Roman" w:cs="Times New Roman"/>
                <w:lang w:val="en-US"/>
              </w:rPr>
              <w:t xml:space="preserve"> Progressive Muscle Relaxation); breathing exercises with the use of texts;</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Methods of voice work - exercises improving phonation apparatus;</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Methods of work on the voice - exercises improving the resonance-articulation apparatus;</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Technique of correct voice</w:t>
            </w:r>
            <w:r>
              <w:rPr>
                <w:rFonts w:ascii="Times New Roman" w:hAnsi="Times New Roman" w:cs="Times New Roman"/>
                <w:lang w:val="en-US"/>
              </w:rPr>
              <w:t xml:space="preserve"> emission on texts - exercises in expressive pronunciation of vowels, exercises in expressive pronunciation of consonants, exercises in perfecting diction;</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Principles of correct Polish pronunciation (selection);</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t>Analysis of recordings and statements of act</w:t>
            </w:r>
            <w:r>
              <w:rPr>
                <w:rFonts w:ascii="Times New Roman" w:hAnsi="Times New Roman" w:cs="Times New Roman"/>
                <w:lang w:val="en-US"/>
              </w:rPr>
              <w:t>ors and lectors; Training in correct technique of voice emission and interpretation;</w:t>
            </w:r>
          </w:p>
          <w:p w:rsidR="002C18DD" w:rsidRDefault="00950B42">
            <w:pPr>
              <w:pStyle w:val="Akapitzlist"/>
              <w:numPr>
                <w:ilvl w:val="0"/>
                <w:numId w:val="1"/>
              </w:numPr>
              <w:spacing w:after="0" w:line="240" w:lineRule="auto"/>
              <w:ind w:left="317" w:hanging="283"/>
              <w:contextualSpacing w:val="0"/>
              <w:rPr>
                <w:rFonts w:ascii="Times New Roman" w:hAnsi="Times New Roman" w:cs="Times New Roman"/>
                <w:lang w:val="en-US"/>
              </w:rPr>
            </w:pPr>
            <w:r>
              <w:rPr>
                <w:rFonts w:ascii="Times New Roman" w:hAnsi="Times New Roman" w:cs="Times New Roman"/>
                <w:lang w:val="en-US"/>
              </w:rPr>
              <w:lastRenderedPageBreak/>
              <w:t>Principles of voice prophylaxis and hygiene, optimal conditions for voice work; Psychosocial load in the teacher's work - prevention, avoidance, minimization; Voice pathol</w:t>
            </w:r>
            <w:r>
              <w:rPr>
                <w:rFonts w:ascii="Times New Roman" w:hAnsi="Times New Roman" w:cs="Times New Roman"/>
                <w:lang w:val="en-US"/>
              </w:rPr>
              <w:t>ogy - diseases of the voice and affecting the voice, medical control of the vocal organ;</w:t>
            </w:r>
          </w:p>
          <w:p w:rsidR="002C18DD" w:rsidRDefault="002C18DD">
            <w:pPr>
              <w:spacing w:after="0" w:line="240" w:lineRule="auto"/>
              <w:rPr>
                <w:rFonts w:ascii="Times New Roman" w:hAnsi="Times New Roman" w:cs="Times New Roman"/>
                <w:lang w:val="en-US"/>
              </w:rPr>
            </w:pPr>
          </w:p>
        </w:tc>
      </w:tr>
      <w:tr w:rsidR="002C18DD">
        <w:tc>
          <w:tcPr>
            <w:tcW w:w="3652" w:type="dxa"/>
            <w:shd w:val="clear" w:color="auto" w:fill="EEECE1" w:themeFill="background2"/>
            <w:vAlign w:val="center"/>
          </w:tcPr>
          <w:p w:rsidR="002C18DD" w:rsidRDefault="00950B42">
            <w:pPr>
              <w:spacing w:after="0" w:line="240" w:lineRule="auto"/>
              <w:rPr>
                <w:rFonts w:ascii="Times New Roman" w:hAnsi="Times New Roman" w:cs="Times New Roman"/>
                <w:lang w:val="en-US"/>
              </w:rPr>
            </w:pPr>
            <w:r>
              <w:rPr>
                <w:rFonts w:ascii="Times New Roman" w:hAnsi="Times New Roman" w:cs="Times New Roman"/>
                <w:lang w:val="en-US"/>
              </w:rPr>
              <w:lastRenderedPageBreak/>
              <w:t>ADDITIONAL INFORMATION:</w:t>
            </w:r>
          </w:p>
        </w:tc>
        <w:tc>
          <w:tcPr>
            <w:tcW w:w="5560" w:type="dxa"/>
            <w:vAlign w:val="center"/>
          </w:tcPr>
          <w:p w:rsidR="002C18DD" w:rsidRDefault="00950B42">
            <w:pPr>
              <w:spacing w:after="0" w:line="240" w:lineRule="auto"/>
              <w:rPr>
                <w:rFonts w:ascii="Times New Roman" w:hAnsi="Times New Roman" w:cs="Times New Roman"/>
                <w:u w:val="single"/>
                <w:lang w:val="en-GB"/>
              </w:rPr>
            </w:pPr>
            <w:r>
              <w:rPr>
                <w:rFonts w:ascii="Times New Roman" w:hAnsi="Times New Roman" w:cs="Times New Roman"/>
                <w:u w:val="single"/>
                <w:lang w:val="en-GB"/>
              </w:rPr>
              <w:t>Core literature:</w:t>
            </w:r>
          </w:p>
          <w:p w:rsidR="002C18DD" w:rsidRDefault="00950B42">
            <w:pPr>
              <w:numPr>
                <w:ilvl w:val="0"/>
                <w:numId w:val="2"/>
              </w:numPr>
              <w:spacing w:after="0" w:line="240" w:lineRule="auto"/>
              <w:ind w:left="714" w:hanging="357"/>
              <w:rPr>
                <w:rFonts w:ascii="Times New Roman" w:hAnsi="Times New Roman" w:cs="Times New Roman"/>
              </w:rPr>
            </w:pPr>
            <w:r>
              <w:rPr>
                <w:rFonts w:ascii="Times New Roman" w:hAnsi="Times New Roman" w:cs="Times New Roman"/>
              </w:rPr>
              <w:t>Tarasiewicz B., Mówię i śpiewam świadomie. Podręcznik do nauki emisji głosu, Kraków 2019,</w:t>
            </w:r>
          </w:p>
          <w:p w:rsidR="002C18DD" w:rsidRPr="00401978" w:rsidRDefault="00950B42">
            <w:pPr>
              <w:pStyle w:val="Akapitzlist"/>
              <w:numPr>
                <w:ilvl w:val="0"/>
                <w:numId w:val="3"/>
              </w:numPr>
              <w:spacing w:after="0" w:line="240" w:lineRule="auto"/>
              <w:ind w:left="714" w:hanging="357"/>
              <w:contextualSpacing w:val="0"/>
              <w:rPr>
                <w:rFonts w:ascii="Times New Roman" w:hAnsi="Times New Roman" w:cs="Times New Roman"/>
              </w:rPr>
            </w:pPr>
            <w:r>
              <w:rPr>
                <w:rFonts w:ascii="Times New Roman" w:hAnsi="Times New Roman" w:cs="Times New Roman"/>
              </w:rPr>
              <w:t xml:space="preserve">Toczyska B., Głośno i wyraźnie: 9 </w:t>
            </w:r>
            <w:r>
              <w:rPr>
                <w:rFonts w:ascii="Times New Roman" w:hAnsi="Times New Roman" w:cs="Times New Roman"/>
              </w:rPr>
              <w:t>lekcji dobrego   głosu, Kraków 2011</w:t>
            </w:r>
          </w:p>
          <w:p w:rsidR="002C18DD" w:rsidRPr="00401978" w:rsidRDefault="00950B42">
            <w:pPr>
              <w:pStyle w:val="Akapitzlist"/>
              <w:numPr>
                <w:ilvl w:val="0"/>
                <w:numId w:val="3"/>
              </w:numPr>
              <w:spacing w:after="0" w:line="240" w:lineRule="auto"/>
              <w:ind w:left="714" w:hanging="357"/>
              <w:contextualSpacing w:val="0"/>
              <w:rPr>
                <w:rFonts w:ascii="Times New Roman" w:hAnsi="Times New Roman" w:cs="Times New Roman"/>
              </w:rPr>
            </w:pPr>
            <w:r>
              <w:rPr>
                <w:rFonts w:ascii="Times New Roman" w:hAnsi="Times New Roman" w:cs="Times New Roman"/>
              </w:rPr>
              <w:t>Toczyska B., Elementarne ćwiczenia dykcji, Gdańsk 2016</w:t>
            </w:r>
          </w:p>
          <w:p w:rsidR="002C18DD" w:rsidRPr="00401978" w:rsidRDefault="00950B42">
            <w:pPr>
              <w:pStyle w:val="Akapitzlist"/>
              <w:numPr>
                <w:ilvl w:val="0"/>
                <w:numId w:val="3"/>
              </w:numPr>
              <w:spacing w:after="0" w:line="240" w:lineRule="auto"/>
              <w:ind w:left="714" w:hanging="357"/>
              <w:contextualSpacing w:val="0"/>
              <w:rPr>
                <w:rFonts w:ascii="Times New Roman" w:hAnsi="Times New Roman" w:cs="Times New Roman"/>
              </w:rPr>
            </w:pPr>
            <w:r>
              <w:rPr>
                <w:rFonts w:ascii="Times New Roman" w:hAnsi="Times New Roman" w:cs="Times New Roman"/>
              </w:rPr>
              <w:t xml:space="preserve"> Toczyska B., Toczyska B., Jak ćwiczyć, by wyćwiczyć, Gdańsk 2019</w:t>
            </w:r>
          </w:p>
          <w:p w:rsidR="002C18DD" w:rsidRDefault="00950B42">
            <w:pPr>
              <w:pStyle w:val="Akapitzlist"/>
              <w:numPr>
                <w:ilvl w:val="0"/>
                <w:numId w:val="3"/>
              </w:numPr>
              <w:spacing w:after="0" w:line="240" w:lineRule="auto"/>
              <w:ind w:left="714" w:hanging="357"/>
              <w:contextualSpacing w:val="0"/>
              <w:rPr>
                <w:rFonts w:ascii="Times New Roman" w:hAnsi="Times New Roman" w:cs="Times New Roman"/>
                <w:lang w:val="en-US"/>
              </w:rPr>
            </w:pPr>
            <w:r w:rsidRPr="00401978">
              <w:rPr>
                <w:rFonts w:ascii="Times New Roman" w:hAnsi="Times New Roman" w:cs="Times New Roman"/>
              </w:rPr>
              <w:t xml:space="preserve">Zalesska-Kręcicka M., Kręcicki T., Wierzbicka E., Głos I jego zaburzenia. </w:t>
            </w:r>
            <w:r>
              <w:rPr>
                <w:rFonts w:ascii="Times New Roman" w:hAnsi="Times New Roman" w:cs="Times New Roman"/>
                <w:lang w:val="en-US"/>
              </w:rPr>
              <w:t xml:space="preserve">Zagadnienia higieny i emisji głosu, Wrocław 2004 </w:t>
            </w:r>
          </w:p>
          <w:p w:rsidR="002C18DD" w:rsidRDefault="002C18DD">
            <w:pPr>
              <w:spacing w:after="0" w:line="240" w:lineRule="auto"/>
              <w:rPr>
                <w:rFonts w:ascii="Times New Roman" w:hAnsi="Times New Roman" w:cs="Times New Roman"/>
                <w:lang w:val="en-US"/>
              </w:rPr>
            </w:pPr>
          </w:p>
          <w:p w:rsidR="002C18DD" w:rsidRDefault="00950B42">
            <w:pPr>
              <w:spacing w:after="0" w:line="240" w:lineRule="auto"/>
              <w:rPr>
                <w:rFonts w:ascii="Times New Roman" w:hAnsi="Times New Roman" w:cs="Times New Roman"/>
                <w:u w:val="single"/>
                <w:lang w:val="en-US"/>
              </w:rPr>
            </w:pPr>
            <w:r>
              <w:rPr>
                <w:rFonts w:ascii="Times New Roman" w:hAnsi="Times New Roman" w:cs="Times New Roman"/>
                <w:u w:val="single"/>
                <w:lang w:val="en-US"/>
              </w:rPr>
              <w:t>Supporting literature:</w:t>
            </w:r>
          </w:p>
          <w:p w:rsidR="002C18DD" w:rsidRDefault="00950B42">
            <w:pPr>
              <w:pStyle w:val="Akapitzlist"/>
              <w:numPr>
                <w:ilvl w:val="0"/>
                <w:numId w:val="4"/>
              </w:numPr>
              <w:spacing w:after="0" w:line="240" w:lineRule="auto"/>
              <w:contextualSpacing w:val="0"/>
              <w:rPr>
                <w:rFonts w:ascii="Times New Roman" w:hAnsi="Times New Roman" w:cs="Times New Roman"/>
                <w:lang w:val="en-US"/>
              </w:rPr>
            </w:pPr>
            <w:r w:rsidRPr="00401978">
              <w:rPr>
                <w:rFonts w:ascii="Times New Roman" w:hAnsi="Times New Roman" w:cs="Times New Roman"/>
              </w:rPr>
              <w:t xml:space="preserve">Ciecierska-Zajdel B., Trening głosu. Praktyczny kurs dobrego mówienia, Wyd. </w:t>
            </w:r>
            <w:r>
              <w:rPr>
                <w:rFonts w:ascii="Times New Roman" w:hAnsi="Times New Roman" w:cs="Times New Roman"/>
                <w:lang w:val="en-US"/>
              </w:rPr>
              <w:t>Edgard 2012</w:t>
            </w:r>
          </w:p>
          <w:p w:rsidR="002C18DD" w:rsidRPr="00401978" w:rsidRDefault="00950B42">
            <w:pPr>
              <w:pStyle w:val="Akapitzlist"/>
              <w:numPr>
                <w:ilvl w:val="0"/>
                <w:numId w:val="4"/>
              </w:numPr>
              <w:spacing w:after="0" w:line="240" w:lineRule="auto"/>
              <w:contextualSpacing w:val="0"/>
              <w:rPr>
                <w:rFonts w:ascii="Times New Roman" w:hAnsi="Times New Roman" w:cs="Times New Roman"/>
              </w:rPr>
            </w:pPr>
            <w:r w:rsidRPr="00401978">
              <w:rPr>
                <w:rFonts w:ascii="Times New Roman" w:hAnsi="Times New Roman" w:cs="Times New Roman"/>
              </w:rPr>
              <w:t xml:space="preserve">Przybysz-Piwko M. </w:t>
            </w:r>
            <w:r w:rsidRPr="00401978">
              <w:rPr>
                <w:rFonts w:ascii="Times New Roman" w:hAnsi="Times New Roman" w:cs="Times New Roman"/>
              </w:rPr>
              <w:t>(red.), Emisja głosu nauczyciela, CODN, Warszawa 2006</w:t>
            </w:r>
          </w:p>
          <w:p w:rsidR="002C18DD" w:rsidRPr="00401978" w:rsidRDefault="002C18DD">
            <w:pPr>
              <w:spacing w:after="0" w:line="240" w:lineRule="auto"/>
              <w:rPr>
                <w:rFonts w:ascii="Times New Roman" w:hAnsi="Times New Roman" w:cs="Times New Roman"/>
              </w:rPr>
            </w:pPr>
          </w:p>
        </w:tc>
      </w:tr>
    </w:tbl>
    <w:p w:rsidR="002C18DD" w:rsidRDefault="002C18DD"/>
    <w:p w:rsidR="002C18DD" w:rsidRDefault="002C18DD"/>
    <w:p w:rsidR="002C18DD" w:rsidRDefault="00950B42">
      <w:pPr>
        <w:pStyle w:val="Bezodstpw"/>
        <w:jc w:val="right"/>
      </w:pPr>
      <w:r>
        <w:t>mgr Dominika Mielniczuk-Bączek, MA / 28.02.2022r.</w:t>
      </w:r>
    </w:p>
    <w:p w:rsidR="002C18DD" w:rsidRDefault="00950B42">
      <w:pPr>
        <w:pStyle w:val="Bezodstpw"/>
        <w:jc w:val="right"/>
      </w:pPr>
      <w:r>
        <w:t>/sporządził, data/</w:t>
      </w:r>
    </w:p>
    <w:p w:rsidR="002C18DD" w:rsidRDefault="002C18DD"/>
    <w:p w:rsidR="002C18DD" w:rsidRDefault="00950B42">
      <w:r>
        <w:t>*kurs dostępny wyłącznie w języku angielskim</w:t>
      </w:r>
    </w:p>
    <w:sectPr w:rsidR="002C18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42" w:rsidRDefault="00950B42">
      <w:pPr>
        <w:spacing w:line="240" w:lineRule="auto"/>
      </w:pPr>
      <w:r>
        <w:separator/>
      </w:r>
    </w:p>
  </w:endnote>
  <w:endnote w:type="continuationSeparator" w:id="0">
    <w:p w:rsidR="00950B42" w:rsidRDefault="00950B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default"/>
    <w:sig w:usb0="E4002EFF" w:usb1="C000E47F" w:usb2="00000009" w:usb3="00000000" w:csb0="2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42" w:rsidRDefault="00950B42">
      <w:pPr>
        <w:spacing w:after="0"/>
      </w:pPr>
      <w:r>
        <w:separator/>
      </w:r>
    </w:p>
  </w:footnote>
  <w:footnote w:type="continuationSeparator" w:id="0">
    <w:p w:rsidR="00950B42" w:rsidRDefault="00950B4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7A07"/>
    <w:multiLevelType w:val="multilevel"/>
    <w:tmpl w:val="102E7A0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2AE6848"/>
    <w:multiLevelType w:val="multilevel"/>
    <w:tmpl w:val="32AE68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3E6302D"/>
    <w:multiLevelType w:val="multilevel"/>
    <w:tmpl w:val="33E6302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279299D"/>
    <w:multiLevelType w:val="multilevel"/>
    <w:tmpl w:val="5279299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C4296"/>
    <w:rsid w:val="001C309A"/>
    <w:rsid w:val="001D67FF"/>
    <w:rsid w:val="001F2245"/>
    <w:rsid w:val="001F45C6"/>
    <w:rsid w:val="00207C9D"/>
    <w:rsid w:val="0022116E"/>
    <w:rsid w:val="00244266"/>
    <w:rsid w:val="0025671B"/>
    <w:rsid w:val="00257043"/>
    <w:rsid w:val="002A41FD"/>
    <w:rsid w:val="002C18DD"/>
    <w:rsid w:val="002E7437"/>
    <w:rsid w:val="002F62CA"/>
    <w:rsid w:val="00346F56"/>
    <w:rsid w:val="003E6804"/>
    <w:rsid w:val="003F0FAC"/>
    <w:rsid w:val="00401978"/>
    <w:rsid w:val="00444325"/>
    <w:rsid w:val="00471AD7"/>
    <w:rsid w:val="004E1581"/>
    <w:rsid w:val="00511AEE"/>
    <w:rsid w:val="00552CA7"/>
    <w:rsid w:val="00584B9E"/>
    <w:rsid w:val="005A2D8C"/>
    <w:rsid w:val="005B6AAC"/>
    <w:rsid w:val="006607AB"/>
    <w:rsid w:val="00685F42"/>
    <w:rsid w:val="00694543"/>
    <w:rsid w:val="006A6AAD"/>
    <w:rsid w:val="0077034B"/>
    <w:rsid w:val="007E1205"/>
    <w:rsid w:val="008802D4"/>
    <w:rsid w:val="008809F1"/>
    <w:rsid w:val="008F0DA2"/>
    <w:rsid w:val="0090106B"/>
    <w:rsid w:val="00920B88"/>
    <w:rsid w:val="00950B42"/>
    <w:rsid w:val="009A0F9E"/>
    <w:rsid w:val="009C1F39"/>
    <w:rsid w:val="00A42B13"/>
    <w:rsid w:val="00A50949"/>
    <w:rsid w:val="00A73350"/>
    <w:rsid w:val="00AB5730"/>
    <w:rsid w:val="00B142F9"/>
    <w:rsid w:val="00B23A33"/>
    <w:rsid w:val="00B4558E"/>
    <w:rsid w:val="00BE6F11"/>
    <w:rsid w:val="00C06070"/>
    <w:rsid w:val="00C90ED6"/>
    <w:rsid w:val="00CC043D"/>
    <w:rsid w:val="00D05B4C"/>
    <w:rsid w:val="00D251B8"/>
    <w:rsid w:val="00D60549"/>
    <w:rsid w:val="00D6289C"/>
    <w:rsid w:val="00E816BA"/>
    <w:rsid w:val="00EC4317"/>
    <w:rsid w:val="00F72675"/>
    <w:rsid w:val="00FB5F98"/>
    <w:rsid w:val="00FF422B"/>
    <w:rsid w:val="4CC032C3"/>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ED4B8"/>
  <w15:docId w15:val="{0DE4DEFA-7AE4-459E-A4C9-E9BAEAEFF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Pr>
      <w:sz w:val="22"/>
      <w:szCs w:val="22"/>
      <w:lang w:eastAsia="en-US"/>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Akapitzlist">
    <w:name w:val="List Paragraph"/>
    <w:basedOn w:val="Normalny"/>
    <w:uiPriority w:val="34"/>
    <w:qFormat/>
    <w:pPr>
      <w:ind w:left="720"/>
      <w:contextualSpacing/>
    </w:pPr>
  </w:style>
  <w:style w:type="character" w:customStyle="1" w:styleId="czeinternetowe">
    <w:name w:val="Łącze internetowe"/>
    <w:basedOn w:val="Domylnaczcionkaakapitu"/>
    <w:uiPriority w:val="99"/>
    <w:unhideWhenUsed/>
    <w:rPr>
      <w:color w:val="0000FF"/>
      <w:u w:val="single"/>
    </w:rPr>
  </w:style>
  <w:style w:type="character" w:styleId="Hipercze">
    <w:name w:val="Hyperlink"/>
    <w:basedOn w:val="Domylnaczcionkaakapitu"/>
    <w:uiPriority w:val="99"/>
    <w:unhideWhenUsed/>
    <w:rsid w:val="004019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ika.mielniczuk-baczek@tu.koszalin.pl" TargetMode="External"/><Relationship Id="rId3" Type="http://schemas.openxmlformats.org/officeDocument/2006/relationships/settings" Target="settings.xml"/><Relationship Id="rId7" Type="http://schemas.openxmlformats.org/officeDocument/2006/relationships/hyperlink" Target="mailto:lukasz.neubauer@tu.kosza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493</Words>
  <Characters>2963</Characters>
  <Application>Microsoft Office Word</Application>
  <DocSecurity>0</DocSecurity>
  <Lines>24</Lines>
  <Paragraphs>6</Paragraphs>
  <ScaleCrop>false</ScaleCrop>
  <Company>Dell</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Diana Wojtewicz</cp:lastModifiedBy>
  <cp:revision>5</cp:revision>
  <cp:lastPrinted>2022-01-27T12:55:00Z</cp:lastPrinted>
  <dcterms:created xsi:type="dcterms:W3CDTF">2022-02-28T12:13:00Z</dcterms:created>
  <dcterms:modified xsi:type="dcterms:W3CDTF">2022-03-28T07:43:00Z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1045-11.2.0.11029</vt:lpwstr>
  </property>
  <property fmtid="{D5CDD505-2E9C-101B-9397-08002B2CF9AE}" pid="3" name="ICV">
    <vt:lpwstr>3143CD7C5A914CF785FCBFC22308C1AD</vt:lpwstr>
  </property>
</Properties>
</file>