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bookmarkStart w:id="0" w:name="__DdeLink__129_3356313728"/>
            <w:r>
              <w:rPr>
                <w:lang w:val="en-US"/>
              </w:rPr>
              <w:t>Onomastics</w:t>
            </w:r>
            <w:bookmarkEnd w:id="0"/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Martyna Gibka, PhD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martyna.gibka@tu.koszalin.pl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</w:t>
            </w:r>
            <w:r>
              <w:rPr>
                <w:b/>
                <w:lang w:val="en-US"/>
              </w:rPr>
              <w:t>1</w:t>
            </w:r>
            <w:r>
              <w:rPr>
                <w:b/>
                <w:lang w:val="en-US"/>
              </w:rPr>
              <w:t>/202</w:t>
            </w:r>
            <w:r>
              <w:rPr>
                <w:b/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1st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A number of subdisciplines of onomastics, i.e. the study of names. Among them: toponomastics, anthroponomastics, socioonomastics and literary onomastics. Onomastics as an interdisciplinary study.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</w:t>
      </w:r>
      <w:r>
        <w:rPr>
          <w:lang w:val="en-US"/>
        </w:rPr>
        <w:t>..</w:t>
      </w:r>
    </w:p>
    <w:p>
      <w:pPr>
        <w:pStyle w:val="NoSpacing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9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 w:customStyle="1">
    <w:name w:val="Łącze internetowe"/>
    <w:basedOn w:val="DefaultParagraphFont"/>
    <w:uiPriority w:val="99"/>
    <w:unhideWhenUsed/>
    <w:rsid w:val="000a2233"/>
    <w:rPr>
      <w:color w:val="0000FF" w:themeColor="hyperlink"/>
      <w:u w:val="single"/>
    </w:rPr>
  </w:style>
  <w:style w:type="character" w:styleId="ListLabel1" w:customStyle="1">
    <w:name w:val="ListLabel 1"/>
    <w:qFormat/>
    <w:rPr>
      <w:lang w:val="en-US"/>
    </w:rPr>
  </w:style>
  <w:style w:type="character" w:styleId="ListLabel2">
    <w:name w:val="ListLabel 2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LibreOffice/6.0.6.2$Windows_x86 LibreOffice_project/0c292870b25a325b5ed35f6b45599d2ea4458e77</Application>
  <Pages>1</Pages>
  <Words>136</Words>
  <Characters>939</Characters>
  <CharactersWithSpaces>1037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2021-02-15T17:52:00Z</dcterms:created>
  <dc:creator>Agnieszka</dc:creator>
  <dc:description/>
  <dc:language>pl-PL</dc:language>
  <cp:lastModifiedBy/>
  <dcterms:modified xsi:type="dcterms:W3CDTF">2021-02-15T19:17:06Z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